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31" w:name="protocolo-de-mudanças"/>
    <w:p>
      <w:pPr>
        <w:pStyle w:val="Heading1"/>
      </w:pPr>
      <w:r>
        <w:t xml:space="preserve">Protocolo de Mudanças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https://rcos.ecohubs.community/pt-br/articles/rcos-templates/layer-6/change-protocol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6 — Evolução e Adaptação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§8.1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§8.5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§8.6</w:t>
        </w:r>
      </w:hyperlink>
    </w:p>
    <w:p>
      <w:r>
        <w:pict>
          <v:rect style="width:0;height:1.5pt" o:hralign="center" o:hrstd="t" o:hr="t"/>
        </w:pict>
      </w:r>
    </w:p>
    <w:bookmarkStart w:id="18" w:name="como-as-mudanças-são-propostas"/>
    <w:p>
      <w:pPr>
        <w:pStyle w:val="Heading2"/>
      </w:pPr>
      <w:r>
        <w:t xml:space="preserve">Como as Mudanças São Propostas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8.1.1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8.1.3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8.6.3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8.8.1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exigir uma proposta estruturada</w:t>
      </w:r>
      <w:r>
        <w:t xml:space="preserve"> </w:t>
      </w:r>
      <w:r>
        <w:t xml:space="preserve">&gt;</w:t>
      </w:r>
      <w:r>
        <w:t xml:space="preserve"> </w:t>
      </w:r>
      <w:r>
        <w:t xml:space="preserve">&gt; Uma mudança que chega como uma ideia vaga no chat não pode ser avaliada, questionada ou revertida mais tarde. Forçar toda proposta a passar pelo mesmo formato mínimo — artefatos afetados, justificativa, riscos, reversão — transforma uma opinião em um artefato revisável e torna impossível passar uma mudança de regra pela comunidade por acidente.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quem pode propor, onde as propostas são submetidas e os campos de conteúdo obrigatórios. Conecte isso ao Protocolo de Governança (Camada 2).</w:t>
      </w:r>
    </w:p>
    <w:p>
      <w:pPr>
        <w:pStyle w:val="BodyText"/>
      </w:pPr>
      <w:r>
        <w:rPr>
          <w:i/>
          <w:iCs/>
        </w:rPr>
        <w:t xml:space="preserve">&lt;Qualquer Membro Pleno pode propor uma mudança em qualquer artefato RCOS. Declare o canal de submissão.&gt;</w:t>
      </w:r>
      <w:r>
        <w:t xml:space="preserve"> </w:t>
      </w:r>
      <w:r>
        <w:t xml:space="preserve">Toda proposta deve incluir: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&lt;Resumo da mudança.&gt;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&lt;Camadas e artefatos afetados (com links).&gt;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&lt;Tipo de decisão (Operacional / Estratégica / Constitucional).&gt;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&lt;Justificativa.&gt;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&lt;Riscos e mitigações.&gt;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&lt;Plano de reversão.&gt;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&lt;Data de vigência proposta.&gt;</w:t>
      </w:r>
    </w:p>
    <w:bookmarkEnd w:id="18"/>
    <w:bookmarkStart w:id="19" w:name="como-as-propostas-são-classificadas"/>
    <w:p>
      <w:pPr>
        <w:pStyle w:val="Heading2"/>
      </w:pPr>
      <w:r>
        <w:t xml:space="preserve">Como as Propostas São Classificadas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8.1.4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classificar por impacto</w:t>
      </w:r>
      <w:r>
        <w:t xml:space="preserve"> </w:t>
      </w:r>
      <w:r>
        <w:t xml:space="preserve">&gt;</w:t>
      </w:r>
      <w:r>
        <w:t xml:space="preserve"> </w:t>
      </w:r>
      <w:r>
        <w:t xml:space="preserve">&gt; Nem toda mudança merece a mesma fricção. Correções de erros de digitação não deveriam exigir uma supermaioria; mudanças constitucionais não deveriam passar silenciosamente. Mapear propostas para tipos de decisão — e elevar casos ambíguos por padrão — torna o custo de uma mudança proporcional ao seu raio de impacto e protege a Camada 0 de ser erodida por pequenos movimentos.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o que se enquadra em cada tipo de decisão. Declare a regra de elevação padrão para casos ambíguos.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Operacional:</w:t>
      </w:r>
      <w:r>
        <w:t xml:space="preserve"> </w:t>
      </w:r>
      <w:r>
        <w:rPr>
          <w:i/>
          <w:iCs/>
        </w:rPr>
        <w:t xml:space="preserve">&lt;correções de redação, formatação, atualizações menores de conteúdo; não exige votação; executada pelo papel responsável dentro dos limites delegados.&gt;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Estratégica:</w:t>
      </w:r>
      <w:r>
        <w:t xml:space="preserve"> </w:t>
      </w:r>
      <w:r>
        <w:rPr>
          <w:i/>
          <w:iCs/>
        </w:rPr>
        <w:t xml:space="preserve">&lt;mudanças no conteúdo das Camadas 1–5 que afetam direitos, processos ou estruturas dos membros.&gt;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Constitucional:</w:t>
      </w:r>
      <w:r>
        <w:t xml:space="preserve"> </w:t>
      </w:r>
      <w:r>
        <w:rPr>
          <w:i/>
          <w:iCs/>
        </w:rPr>
        <w:t xml:space="preserve">&lt;mudanças na Camada 0 (propósito, escopo, invariantes) ou no próprio sistema de governança (Camada 2).&gt;</w:t>
      </w:r>
    </w:p>
    <w:p>
      <w:pPr>
        <w:pStyle w:val="FirstParagraph"/>
      </w:pPr>
      <w:r>
        <w:t xml:space="preserve">&gt; Se a classificação não for clara, ela é elevada por padrão ao tipo de maior impacto.</w:t>
      </w:r>
    </w:p>
    <w:bookmarkEnd w:id="19"/>
    <w:bookmarkStart w:id="21" w:name="revisão-e-deliberação"/>
    <w:p>
      <w:pPr>
        <w:pStyle w:val="Heading2"/>
      </w:pPr>
      <w:r>
        <w:t xml:space="preserve">Revisão e Deliberação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0">
        <w:r>
          <w:rPr>
            <w:rStyle w:val="Hyperlink"/>
            <w:i/>
            <w:iCs/>
          </w:rPr>
          <w:t xml:space="preserve">8.7.1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impor janelas mínimas de deliberação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Sem um piso para o tempo de deliberação, qualquer mudança pode ser apressada em um dia tranquilo em que poucos membros estão prestando atenção. Mínimos obrigatórios — mais longos para mudanças de maior impacto — garantem que membros que estejam viajando, doentes ou simplesmente ocupados ainda tenham uma chance real de ler, objetar ou aparecer.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períodos mínimos de deliberação para cada tipo de decisão e um período de ratificação para mudanças Constitucionais.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Operacional:</w:t>
      </w:r>
      <w:r>
        <w:t xml:space="preserve"> </w:t>
      </w:r>
      <w:r>
        <w:rPr>
          <w:i/>
          <w:iCs/>
        </w:rPr>
        <w:t xml:space="preserve">&lt;não exige deliberação.&gt;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Estratégica:</w:t>
      </w:r>
      <w:r>
        <w:t xml:space="preserve"> </w:t>
      </w:r>
      <w:r>
        <w:rPr>
          <w:i/>
          <w:iCs/>
        </w:rPr>
        <w:t xml:space="preserve">&lt;deliberação mínima de X dias; espaço de deliberação.&gt;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Constitucional:</w:t>
      </w:r>
      <w:r>
        <w:t xml:space="preserve"> </w:t>
      </w:r>
      <w:r>
        <w:rPr>
          <w:i/>
          <w:iCs/>
        </w:rPr>
        <w:t xml:space="preserve">&lt;deliberação mínima de Y dias; período de ratificação de Z dias após a aprovação da votação.&gt;</w:t>
      </w:r>
    </w:p>
    <w:bookmarkEnd w:id="21"/>
    <w:bookmarkStart w:id="23" w:name="adoção-e-publicação"/>
    <w:p>
      <w:pPr>
        <w:pStyle w:val="Heading2"/>
      </w:pPr>
      <w:r>
        <w:t xml:space="preserve">Adoção e Publicação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22">
        <w:r>
          <w:rPr>
            <w:rStyle w:val="Hyperlink"/>
            <w:i/>
            <w:iCs/>
          </w:rPr>
          <w:t xml:space="preserve">8.2.1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2">
        <w:r>
          <w:rPr>
            <w:rStyle w:val="Hyperlink"/>
            <w:i/>
            <w:iCs/>
          </w:rPr>
          <w:t xml:space="preserve">8.2.2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2">
        <w:r>
          <w:rPr>
            <w:rStyle w:val="Hyperlink"/>
            <w:i/>
            <w:iCs/>
          </w:rPr>
          <w:t xml:space="preserve">8.2.5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8.6.3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etapas de publicação fixas</w:t>
      </w:r>
      <w:r>
        <w:t xml:space="preserve"> </w:t>
      </w:r>
      <w:r>
        <w:t xml:space="preserve">&gt;</w:t>
      </w:r>
      <w:r>
        <w:t xml:space="preserve"> </w:t>
      </w:r>
      <w:r>
        <w:t xml:space="preserve">&gt; Uma votação que passa mas nunca é registrada é o mesmo que nenhuma votação — e pior, cria uma lacuna em que quem se lembra do resultado é quem o define. Etapas de publicação rígidas e ordenadas fecham essa lacuna e tornam</w:t>
      </w:r>
      <w:r>
        <w:t xml:space="preserve"> </w:t>
      </w:r>
      <w:r>
        <w:t xml:space="preserve">“o que foi adotado”</w:t>
      </w:r>
      <w:r>
        <w:t xml:space="preserve"> </w:t>
      </w:r>
      <w:r>
        <w:t xml:space="preserve">uma questão de registro, não de memória.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as etapas ordenadas que devem ocorrer após a aprovação de uma proposta. Inclua limites de tempo e a obrigação de histórico de versões.</w:t>
      </w:r>
    </w:p>
    <w:p>
      <w:pPr>
        <w:pStyle w:val="BodyText"/>
      </w:pPr>
      <w:r>
        <w:t xml:space="preserve">Quando uma proposta é aprovada: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&lt;Arquivo da proposta movido para o arquivo de propostas aprovadas em até X dias.&gt;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&lt;Artefatos afetados atualizados em até X dias.&gt;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&lt;Entrada de histórico de versão adicionada.&gt;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&lt;Campos de status atualizados nos artefatos afetados.&gt;</w:t>
      </w:r>
    </w:p>
    <w:bookmarkEnd w:id="23"/>
    <w:bookmarkStart w:id="24" w:name="rejeição"/>
    <w:p>
      <w:pPr>
        <w:pStyle w:val="Heading2"/>
      </w:pPr>
      <w:r>
        <w:t xml:space="preserve">Rejeição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22">
        <w:r>
          <w:rPr>
            <w:rStyle w:val="Hyperlink"/>
            <w:i/>
            <w:iCs/>
          </w:rPr>
          <w:t xml:space="preserve">8.2.2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2">
        <w:r>
          <w:rPr>
            <w:rStyle w:val="Hyperlink"/>
            <w:i/>
            <w:iCs/>
          </w:rPr>
          <w:t xml:space="preserve">8.2.4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arquivar propostas rejeitadas</w:t>
      </w:r>
      <w:r>
        <w:t xml:space="preserve"> </w:t>
      </w:r>
      <w:r>
        <w:t xml:space="preserve">&gt;</w:t>
      </w:r>
      <w:r>
        <w:t xml:space="preserve"> </w:t>
      </w:r>
      <w:r>
        <w:t xml:space="preserve">&gt; Ideias rejeitadas carregam tanto sinal quanto as aceitas — elas mostram o que a comunidade considerou e recusou. Manter rejeições arquivadas e acessíveis impede que a mesma proposta reapareça com um novo nome a cada seis meses e dá aos futuros membros uma visão dos caminhos não trilhados.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o local de arquivamento das propostas rejeitadas e as condições de nova votação para revisitar a questão.</w:t>
      </w:r>
    </w:p>
    <w:p>
      <w:pPr>
        <w:pStyle w:val="BodyText"/>
      </w:pPr>
      <w:r>
        <w:t xml:space="preserve">Quando uma proposta é rejeitada:</w:t>
      </w:r>
    </w:p>
    <w:p>
      <w:pPr>
        <w:pStyle w:val="Compact"/>
        <w:numPr>
          <w:ilvl w:val="0"/>
          <w:numId w:val="1007"/>
        </w:numPr>
      </w:pPr>
      <w:r>
        <w:rPr>
          <w:i/>
          <w:iCs/>
        </w:rPr>
        <w:t xml:space="preserve">&lt;Arquivo da proposta movido para o arquivo de propostas rejeitadas em até X dias.&gt;</w:t>
      </w:r>
    </w:p>
    <w:p>
      <w:pPr>
        <w:pStyle w:val="Compact"/>
        <w:numPr>
          <w:ilvl w:val="0"/>
          <w:numId w:val="1007"/>
        </w:numPr>
      </w:pPr>
      <w:r>
        <w:rPr>
          <w:i/>
          <w:iCs/>
        </w:rPr>
        <w:t xml:space="preserve">&lt;Nenhuma alteração em artefatos é feita.&gt;</w:t>
      </w:r>
    </w:p>
    <w:p>
      <w:pPr>
        <w:pStyle w:val="Compact"/>
        <w:numPr>
          <w:ilvl w:val="0"/>
          <w:numId w:val="1007"/>
        </w:numPr>
      </w:pPr>
      <w:r>
        <w:rPr>
          <w:i/>
          <w:iCs/>
        </w:rPr>
        <w:t xml:space="preserve">&lt;O mecanismo de nova votação se aplica se surgirem novas informações (conforme a Matriz de Decisão, Camada 2).&gt;</w:t>
      </w:r>
    </w:p>
    <w:bookmarkEnd w:id="24"/>
    <w:bookmarkStart w:id="25" w:name="transição-e-migração"/>
    <w:p>
      <w:pPr>
        <w:pStyle w:val="Heading2"/>
      </w:pPr>
      <w:r>
        <w:t xml:space="preserve">Transição e Migração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8.5.1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8.5.2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proteger direitos existentes durante transições</w:t>
      </w:r>
      <w:r>
        <w:t xml:space="preserve"> </w:t>
      </w:r>
      <w:r>
        <w:t xml:space="preserve">&gt;</w:t>
      </w:r>
      <w:r>
        <w:t xml:space="preserve"> </w:t>
      </w:r>
      <w:r>
        <w:t xml:space="preserve">&gt; Se novas regras pudessem silenciosamente reescrever acordos existentes, a participação como membro perderia o sentido — aquilo com o que você se comprometeu poderia ser mudado por baixo dos panos. Regras explícitas de transição garantem que direitos não sejam reduzidos retroativamente e que pessoas operando sob as regras antigas tenham tempo e aviso antes que o terreno mude.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as regras que protegem os atuais ocupantes de papéis, membros e registros quando uma mudança de regra entra em vigor.</w:t>
      </w:r>
    </w:p>
    <w:p>
      <w:pPr>
        <w:pStyle w:val="BodyText"/>
      </w:pPr>
      <w:r>
        <w:t xml:space="preserve">Quando uma mudança de regra afeta papéis, acordos ou registros existentes: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&lt;Os atuais ocupantes de papéis são notificados antes da mudança entrar em vigor.&gt;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&lt;Os direitos dos membros existentes não podem ser reduzidos sem consentimento ou uma votação Constitucional.&gt;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&lt;Registros anteriores à mudança não são alterados retroativamente, a menos que isso faça parte explícita da proposta.&gt;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&lt;Um período de transição pode ser definido na própria proposta.&gt;</w:t>
      </w:r>
    </w:p>
    <w:bookmarkEnd w:id="25"/>
    <w:bookmarkStart w:id="26" w:name="reversão"/>
    <w:p>
      <w:pPr>
        <w:pStyle w:val="Heading2"/>
      </w:pPr>
      <w:r>
        <w:t xml:space="preserve">Reversão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8.1.5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8.5.1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tornar a reversão simétrica à adoção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Uma mudança que não pode ser desfeita pelo mesmo caminho que a criou é uma armadilha. Exigir que a reversão use o tipo de decisão original mantém a porta aberta para correção sem permitir que um único membro silenciosamente reverta uma decisão de nível comunitário chamando-a de</w:t>
      </w:r>
      <w:r>
        <w:t xml:space="preserve"> </w:t>
      </w:r>
      <w:r>
        <w:t xml:space="preserve">“correção”</w:t>
      </w:r>
      <w:r>
        <w:t xml:space="preserve">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que a reversão usa o mesmo tipo de decisão e processo da adoção original.</w:t>
      </w:r>
    </w:p>
    <w:p>
      <w:pPr>
        <w:pStyle w:val="BodyText"/>
      </w:pPr>
      <w:r>
        <w:rPr>
          <w:i/>
          <w:iCs/>
        </w:rPr>
        <w:t xml:space="preserve">&lt;Qualquer decisão aprovada pode ser revertida pelo mesmo processo que a original. Qualquer Membro Pleno pode acionar uma nova votação ao submeter uma objeção fundamentada por escrito que não foi considerada durante a deliberação original. A reversão usa o mesmo tipo de decisão da original.&gt;</w:t>
      </w:r>
    </w:p>
    <w:bookmarkEnd w:id="26"/>
    <w:bookmarkStart w:id="27" w:name="mudanças-de-emergência"/>
    <w:p>
      <w:pPr>
        <w:pStyle w:val="Heading2"/>
      </w:pPr>
      <w:r>
        <w:t xml:space="preserve">Mudanças de Emergência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8.5.3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permitir mudanças de emergência</w:t>
      </w:r>
      <w:r>
        <w:t xml:space="preserve"> </w:t>
      </w:r>
      <w:r>
        <w:t xml:space="preserve">&gt;</w:t>
      </w:r>
      <w:r>
        <w:t xml:space="preserve"> </w:t>
      </w:r>
      <w:r>
        <w:t xml:space="preserve">&gt; Alguns danos se desenrolam mais rápido do que uma votação pode ser convocada. Um caminho de emergência estreito e bem protegido permite que a comunidade responda a falhas genuínas de segurança ou de plataforma sem entregar a ninguém um mecanismo geral de override. O ciclo obrigatório de relato, revisão e ratificação-ou-reversão é o que impede que poderes emergenciais se tornem poderes ordinários.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as condições sob as quais uma mudança de emergência pode ser feita, quem pode fazê-la e o ciclo obrigatório de relatar-revisar-ratificar-ou-reverter.</w:t>
      </w:r>
    </w:p>
    <w:p>
      <w:pPr>
        <w:pStyle w:val="BodyText"/>
      </w:pPr>
      <w:r>
        <w:t xml:space="preserve">Uma mudança operacional de emergência pode ser feita por</w:t>
      </w:r>
      <w:r>
        <w:t xml:space="preserve"> </w:t>
      </w:r>
      <w:r>
        <w:rPr>
          <w:i/>
          <w:iCs/>
        </w:rPr>
        <w:t xml:space="preserve">&lt;papel&gt;</w:t>
      </w:r>
      <w:r>
        <w:t xml:space="preserve"> </w:t>
      </w:r>
      <w:r>
        <w:t xml:space="preserve">apenas se todas as seguintes condições forem atendidas: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&lt;Ação imediata necessária para prevenir dano à segurança ou falha de plataforma.&gt;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&lt;Uma votação dos Membros Plenos não pode ser convocada a tempo.&gt;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&lt;A mudança não anula um invariante da Camada 0.&gt;</w:t>
      </w:r>
    </w:p>
    <w:p>
      <w:pPr>
        <w:pStyle w:val="FirstParagraph"/>
      </w:pPr>
      <w:r>
        <w:t xml:space="preserve">Mudanças de emergência devem ser:</w:t>
      </w:r>
    </w:p>
    <w:p>
      <w:pPr>
        <w:pStyle w:val="Compact"/>
        <w:numPr>
          <w:ilvl w:val="0"/>
          <w:numId w:val="1010"/>
        </w:numPr>
      </w:pPr>
      <w:r>
        <w:rPr>
          <w:i/>
          <w:iCs/>
        </w:rPr>
        <w:t xml:space="preserve">&lt;Relatadas a todos os Membros Plenos em até X horas.&gt;</w:t>
      </w:r>
    </w:p>
    <w:p>
      <w:pPr>
        <w:pStyle w:val="Compact"/>
        <w:numPr>
          <w:ilvl w:val="0"/>
          <w:numId w:val="1010"/>
        </w:numPr>
      </w:pPr>
      <w:r>
        <w:rPr>
          <w:i/>
          <w:iCs/>
        </w:rPr>
        <w:t xml:space="preserve">&lt;Revisadas na próxima reunião comunitária.&gt;</w:t>
      </w:r>
    </w:p>
    <w:p>
      <w:pPr>
        <w:pStyle w:val="Compact"/>
        <w:numPr>
          <w:ilvl w:val="0"/>
          <w:numId w:val="1010"/>
        </w:numPr>
      </w:pPr>
      <w:r>
        <w:rPr>
          <w:i/>
          <w:iCs/>
        </w:rPr>
        <w:t xml:space="preserve">&lt;Ratificadas por meio do tipo de decisão apropriado em até Y dias, ou revertidas automaticamente.&gt;</w:t>
      </w:r>
    </w:p>
    <w:bookmarkEnd w:id="27"/>
    <w:bookmarkStart w:id="29" w:name="experimentos"/>
    <w:p>
      <w:pPr>
        <w:pStyle w:val="Heading2"/>
      </w:pPr>
      <w:r>
        <w:t xml:space="preserve">Experimentos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28">
        <w:r>
          <w:rPr>
            <w:rStyle w:val="Hyperlink"/>
            <w:i/>
            <w:iCs/>
          </w:rPr>
          <w:t xml:space="preserve">8.3.1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8">
        <w:r>
          <w:rPr>
            <w:rStyle w:val="Hyperlink"/>
            <w:i/>
            <w:iCs/>
          </w:rPr>
          <w:t xml:space="preserve">8.3.2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8">
        <w:r>
          <w:rPr>
            <w:rStyle w:val="Hyperlink"/>
            <w:i/>
            <w:iCs/>
          </w:rPr>
          <w:t xml:space="preserve">8.3.3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8">
        <w:r>
          <w:rPr>
            <w:rStyle w:val="Hyperlink"/>
            <w:i/>
            <w:iCs/>
          </w:rPr>
          <w:t xml:space="preserve">8.3.4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8">
        <w:r>
          <w:rPr>
            <w:rStyle w:val="Hyperlink"/>
            <w:i/>
            <w:iCs/>
          </w:rPr>
          <w:t xml:space="preserve">8.3.5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0">
        <w:r>
          <w:rPr>
            <w:rStyle w:val="Hyperlink"/>
            <w:i/>
            <w:iCs/>
          </w:rPr>
          <w:t xml:space="preserve">8.7.3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tratar experimentos como um mecanismo distinto</w:t>
      </w:r>
      <w:r>
        <w:t xml:space="preserve"> </w:t>
      </w:r>
      <w:r>
        <w:t xml:space="preserve">&gt;</w:t>
      </w:r>
      <w:r>
        <w:t xml:space="preserve"> </w:t>
      </w:r>
      <w:r>
        <w:t xml:space="preserve">&gt; A comunidade precisa de uma forma de testar coisas novas sem ter que adotá-las permanentemente para testá-las. Experimentos criam esse espaço — mas só se forem limitados no tempo, rotulados e com expiração automática. Sem essas salvaguardas, um</w:t>
      </w:r>
      <w:r>
        <w:t xml:space="preserve"> </w:t>
      </w:r>
      <w:r>
        <w:t xml:space="preserve">“experimento”</w:t>
      </w:r>
      <w:r>
        <w:t xml:space="preserve"> </w:t>
      </w:r>
      <w:r>
        <w:t xml:space="preserve">se torna a forma mais rápida de instalar uma regra permanente sem deliberação real.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as regras que todo experimento deve satisfazer. Faça referência ao Modelo de Experimento para o formato completo de submissão.</w:t>
      </w:r>
    </w:p>
    <w:p>
      <w:pPr>
        <w:pStyle w:val="BodyText"/>
      </w:pPr>
      <w:r>
        <w:rPr>
          <w:i/>
          <w:iCs/>
        </w:rPr>
        <w:t xml:space="preserve">&lt;Qualquer Membro Pleno pode propor um experimento com prazo definido por meio de decisão Estratégica. Veja o Modelo de Experimento para os campos obrigatórios.&gt;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&lt;Experimentos expiram automaticamente ao final de sua duração definida, a menos que sejam explicitamente renovados por uma nova proposta.&gt;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&lt;Todos os artefatos afetados por um experimento devem ser explicitamente rotulados como experimentais durante o período.&gt;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&lt;Suspensão por segurança: se um experimento introduzir um risco credível de segurança, coerção ou dano contínuo, uma suspensão de emergência pode ser invocada conforme Mudanças de Emergência acima.&gt;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&lt;Resultados e aprendizados são registrados no Registro de Aprendizado.&gt;</w:t>
      </w:r>
    </w:p>
    <w:p>
      <w:r>
        <w:pict>
          <v:rect style="width:0;height:1.5pt" o:hralign="center" o:hrstd="t" o:hr="t"/>
        </w:pict>
      </w:r>
    </w:p>
    <w:bookmarkEnd w:id="29"/>
    <w:bookmarkStart w:id="30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6-evolution-adaptation#81-change-mechanisms" TargetMode="External" /><Relationship Type="http://schemas.openxmlformats.org/officeDocument/2006/relationships/hyperlink" Id="rId22" Target="https://rcos.ecohubs.community/pt-br/articles/rcos-core/v0-1/layer-6-evolution-adaptation#82-versioning-and-authority" TargetMode="External" /><Relationship Type="http://schemas.openxmlformats.org/officeDocument/2006/relationships/hyperlink" Id="rId28" Target="https://rcos.ecohubs.community/pt-br/articles/rcos-core/v0-1/layer-6-evolution-adaptation#83-experiments" TargetMode="External" /><Relationship Type="http://schemas.openxmlformats.org/officeDocument/2006/relationships/hyperlink" Id="rId15" Target="https://rcos.ecohubs.community/pt-br/articles/rcos-core/v0-1/layer-6-evolution-adaptation#85-change-safety-and-reversibility" TargetMode="External" /><Relationship Type="http://schemas.openxmlformats.org/officeDocument/2006/relationships/hyperlink" Id="rId16" Target="https://rcos.ecohubs.community/pt-br/articles/rcos-core/v0-1/layer-6-evolution-adaptation#86-artifacts" TargetMode="External" /><Relationship Type="http://schemas.openxmlformats.org/officeDocument/2006/relationships/hyperlink" Id="rId20" Target="https://rcos.ecohubs.community/pt-br/articles/rcos-core/v0-1/layer-6-evolution-adaptation#87-layer-invariants" TargetMode="External" /><Relationship Type="http://schemas.openxmlformats.org/officeDocument/2006/relationships/hyperlink" Id="rId17" Target="https://rcos.ecohubs.community/pt-br/articles/rcos-core/v0-1/layer-6-evolution-adaptation#88-explicitness-rule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change-protoco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6-evolution-adaptation#81-change-mechanisms" TargetMode="External" /><Relationship Type="http://schemas.openxmlformats.org/officeDocument/2006/relationships/hyperlink" Id="rId22" Target="https://rcos.ecohubs.community/pt-br/articles/rcos-core/v0-1/layer-6-evolution-adaptation#82-versioning-and-authority" TargetMode="External" /><Relationship Type="http://schemas.openxmlformats.org/officeDocument/2006/relationships/hyperlink" Id="rId28" Target="https://rcos.ecohubs.community/pt-br/articles/rcos-core/v0-1/layer-6-evolution-adaptation#83-experiments" TargetMode="External" /><Relationship Type="http://schemas.openxmlformats.org/officeDocument/2006/relationships/hyperlink" Id="rId15" Target="https://rcos.ecohubs.community/pt-br/articles/rcos-core/v0-1/layer-6-evolution-adaptation#85-change-safety-and-reversibility" TargetMode="External" /><Relationship Type="http://schemas.openxmlformats.org/officeDocument/2006/relationships/hyperlink" Id="rId16" Target="https://rcos.ecohubs.community/pt-br/articles/rcos-core/v0-1/layer-6-evolution-adaptation#86-artifacts" TargetMode="External" /><Relationship Type="http://schemas.openxmlformats.org/officeDocument/2006/relationships/hyperlink" Id="rId20" Target="https://rcos.ecohubs.community/pt-br/articles/rcos-core/v0-1/layer-6-evolution-adaptation#87-layer-invariants" TargetMode="External" /><Relationship Type="http://schemas.openxmlformats.org/officeDocument/2006/relationships/hyperlink" Id="rId17" Target="https://rcos.ecohubs.community/pt-br/articles/rcos-core/v0-1/layer-6-evolution-adaptation#88-explicitness-rule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change-protoc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2026-07-07T15:16:02Z</dcterms:created>
  <dcterms:modified xsi:type="dcterms:W3CDTF">2026-07-07T15:16:02Z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Protocolo de Mudanças</vt:lpwstr>
  </property>
</Properties>
</file>