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609600" cy="609600"/>
            <wp:effectExtent b="0" l="0" r="0" t="0"/>
            <wp:docPr descr="RCOS" title="" id="10" name="Picture"/>
            <a:graphic>
              <a:graphicData uri="http://schemas.openxmlformats.org/drawingml/2006/picture">
                <pic:pic>
                  <pic:nvPicPr>
                    <pic:cNvPr descr="/Users/el_stefano/Documents/Development/svelte/regenerative-community-blueprint/scripts/logo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  <w:bCs/>
        </w:rPr>
        <w:t xml:space="preserve">RCOS — Sistema Operacional de Comunidade Regenerativa</w:t>
      </w:r>
    </w:p>
    <w:bookmarkStart w:id="28" w:name="manual-de-operações"/>
    <w:p>
      <w:pPr>
        <w:pStyle w:val="Heading1"/>
      </w:pPr>
      <w:r>
        <w:t xml:space="preserve">Manual de Operações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Gerado em:</w:t>
      </w:r>
      <w:r>
        <w:t xml:space="preserve"> </w:t>
      </w:r>
      <w:r>
        <w:t xml:space="preserve">2026-07-07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Fonte (versão mais recente):</w:t>
      </w:r>
      <w:r>
        <w:t xml:space="preserve"> </w:t>
      </w:r>
      <w:hyperlink r:id="rId12">
        <w:r>
          <w:rPr>
            <w:rStyle w:val="Hyperlink"/>
          </w:rPr>
          <w:t xml:space="preserve">https://rcos.ecohubs.community/pt-br/articles/rcos-templates/layer-5/operations-manual</w:t>
        </w:r>
      </w:hyperlink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Todos os modelos RCOS:</w:t>
      </w:r>
      <w:r>
        <w:t xml:space="preserve"> </w:t>
      </w:r>
      <w:hyperlink r:id="rId13">
        <w:r>
          <w:rPr>
            <w:rStyle w:val="Hyperlink"/>
          </w:rPr>
          <w:t xml:space="preserve">https://rcos.ecohubs.community/pt-br/articles/rcos-templates</w:t>
        </w:r>
      </w:hyperlink>
    </w:p>
    <w:p>
      <w:r>
        <w:pict>
          <v:rect style="width:0;height:1.5pt" o:hralign="center" o:hrstd="t" o:hr="t"/>
        </w:pic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Camada:</w:t>
      </w:r>
      <w:r>
        <w:t xml:space="preserve"> </w:t>
      </w:r>
      <w:r>
        <w:t xml:space="preserve">5 — Operações e Coordenação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Status:</w:t>
      </w:r>
      <w:r>
        <w:t xml:space="preserve"> </w:t>
      </w:r>
      <w:r>
        <w:t xml:space="preserve">Modelo — adapte para a sua comunidade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Referência RCOS:</w:t>
      </w:r>
      <w:r>
        <w:t xml:space="preserve"> </w:t>
      </w:r>
      <w:hyperlink r:id="rId14">
        <w:r>
          <w:rPr>
            <w:rStyle w:val="Hyperlink"/>
          </w:rPr>
          <w:t xml:space="preserve">§7.1</w:t>
        </w:r>
      </w:hyperlink>
      <w:r>
        <w:t xml:space="preserve">,</w:t>
      </w:r>
      <w:r>
        <w:t xml:space="preserve"> </w:t>
      </w:r>
      <w:hyperlink r:id="rId15">
        <w:r>
          <w:rPr>
            <w:rStyle w:val="Hyperlink"/>
          </w:rPr>
          <w:t xml:space="preserve">§7.3</w:t>
        </w:r>
      </w:hyperlink>
      <w:r>
        <w:t xml:space="preserve">,</w:t>
      </w:r>
      <w:r>
        <w:t xml:space="preserve"> </w:t>
      </w:r>
      <w:hyperlink r:id="rId16">
        <w:r>
          <w:rPr>
            <w:rStyle w:val="Hyperlink"/>
          </w:rPr>
          <w:t xml:space="preserve">§7.4</w:t>
        </w:r>
      </w:hyperlink>
      <w:r>
        <w:t xml:space="preserve">,</w:t>
      </w:r>
      <w:r>
        <w:t xml:space="preserve"> </w:t>
      </w:r>
      <w:hyperlink r:id="rId17">
        <w:r>
          <w:rPr>
            <w:rStyle w:val="Hyperlink"/>
          </w:rPr>
          <w:t xml:space="preserve">§7.5</w:t>
        </w:r>
      </w:hyperlink>
      <w:r>
        <w:t xml:space="preserve">,</w:t>
      </w:r>
      <w:r>
        <w:t xml:space="preserve"> </w:t>
      </w:r>
      <w:hyperlink r:id="rId18">
        <w:r>
          <w:rPr>
            <w:rStyle w:val="Hyperlink"/>
          </w:rPr>
          <w:t xml:space="preserve">§7.6</w:t>
        </w:r>
      </w:hyperlink>
    </w:p>
    <w:p>
      <w:r>
        <w:pict>
          <v:rect style="width:0;height:1.5pt" o:hralign="center" o:hrstd="t" o:hr="t"/>
        </w:pict>
      </w:r>
    </w:p>
    <w:bookmarkStart w:id="20" w:name="processos-operacionais-essenciais"/>
    <w:p>
      <w:pPr>
        <w:pStyle w:val="Heading2"/>
      </w:pPr>
      <w:r>
        <w:t xml:space="preserve">Processos Operacionais Essenciais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7.3.4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9">
        <w:r>
          <w:rPr>
            <w:rStyle w:val="Hyperlink"/>
            <w:i/>
            <w:iCs/>
          </w:rPr>
          <w:t xml:space="preserve">7.7.2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8">
        <w:r>
          <w:rPr>
            <w:rStyle w:val="Hyperlink"/>
            <w:i/>
            <w:iCs/>
          </w:rPr>
          <w:t xml:space="preserve">7.6.3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documentar processos críticos</w:t>
      </w:r>
      <w:r>
        <w:t xml:space="preserve"> </w:t>
      </w:r>
      <w:r>
        <w:t xml:space="preserve">&gt;</w:t>
      </w:r>
      <w:r>
        <w:t xml:space="preserve"> </w:t>
      </w:r>
      <w:r>
        <w:t xml:space="preserve">&gt; Se um processo só existe na cabeça de uma pessoa, a comunidade depende dela aparecer — para sempre. Escrever os processos críticos, com pessoas responsáveis nomeadas, é o que transforma conhecimento privado em um ativo comunitário que sobrevive a transições, ausências e saídas.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Para cada processo crítico recorrente (acolhimento, saída, publicação de propostas, registro de contribuições, cadência de reuniões, gestão de tesouraria, revisão de acesso a plataformas), nomeie uma pessoa responsável e uma breve descrição.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Processo</w:t>
            </w:r>
          </w:p>
        </w:tc>
        <w:tc>
          <w:tcPr/>
          <w:p>
            <w:pPr>
              <w:pStyle w:val="Compact"/>
            </w:pPr>
            <w:r>
              <w:t xml:space="preserve">Quem</w:t>
            </w:r>
          </w:p>
        </w:tc>
        <w:tc>
          <w:tcPr/>
          <w:p>
            <w:pPr>
              <w:pStyle w:val="Compact"/>
            </w:pPr>
            <w:r>
              <w:t xml:space="preserve">Detalhe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&lt;Acolhimento de membros&gt;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&lt;papel&gt;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&lt;ver Protocolo de Acolhimento (Camada 1)&gt;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&lt;Saída de membros&gt;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&lt;papel&gt;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&lt;ver Protocolo de Saída e Separação (Camada 1)&gt;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&lt;Publicação de propostas&gt;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&lt;papel&gt;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&lt;ver Protocolo de Governança (Camada 2)&gt;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&lt;Registro de contribuições&gt;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&lt;papel&gt;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&lt;ver Protocolo de Economia Interna (Camada 3)&gt;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&lt;Reunião recorrente&gt;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&lt;facilitador(a)&gt;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&lt;publicação de pauta; notas; acompanhamento de ações&gt;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&lt;Gestão de tesouraria&gt;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&lt;responsável financeiro&gt;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&lt;ver Regulamento de Tesouraria (Camada 3)&gt;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&lt;Revisão de acesso a plataformas&gt;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&lt;responsável por infraestrutura&gt;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&lt;cadência de revisão; revogação de acesso de membros que saíram&gt;</w:t>
            </w:r>
          </w:p>
        </w:tc>
      </w:tr>
    </w:tbl>
    <w:bookmarkEnd w:id="20"/>
    <w:bookmarkStart w:id="21" w:name="responsabilidades-temporárias-e-ad-hoc"/>
    <w:p>
      <w:pPr>
        <w:pStyle w:val="Heading2"/>
      </w:pPr>
      <w:r>
        <w:t xml:space="preserve">Responsabilidades Temporárias e Ad-Hoc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7.1.5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7.1.4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9">
        <w:r>
          <w:rPr>
            <w:rStyle w:val="Hyperlink"/>
            <w:i/>
            <w:iCs/>
          </w:rPr>
          <w:t xml:space="preserve">7.7.1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limitar as responsabilidades temporárias</w:t>
      </w:r>
      <w:r>
        <w:t xml:space="preserve"> </w:t>
      </w:r>
      <w:r>
        <w:t xml:space="preserve">&gt;</w:t>
      </w:r>
      <w:r>
        <w:t xml:space="preserve"> </w:t>
      </w:r>
      <w:r>
        <w:t xml:space="preserve">&gt; Tarefas ad-hoc silenciosamente se cristalizam em trabalhos permanentes não remunerados — geralmente sobre quem disse sim uma vez. Um prazo rígido e uma revisão obrigatória fazem a diferença entre</w:t>
      </w:r>
      <w:r>
        <w:t xml:space="preserve"> </w:t>
      </w:r>
      <w:r>
        <w:t xml:space="preserve">“cobri por uma semana”</w:t>
      </w:r>
      <w:r>
        <w:t xml:space="preserve"> </w:t>
      </w:r>
      <w:r>
        <w:t xml:space="preserve">e</w:t>
      </w:r>
      <w:r>
        <w:t xml:space="preserve"> </w:t>
      </w:r>
      <w:r>
        <w:t xml:space="preserve">“aparentemente esse é o meu papel agora”</w:t>
      </w:r>
      <w:r>
        <w:t xml:space="preserve">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Estabeleça que qualquer responsabilidade temporária DEVE ter prazo definido na atribuição, ser documentada, revisada antes da expiração e formalizada ou encerrada.</w:t>
      </w:r>
    </w:p>
    <w:p>
      <w:pPr>
        <w:pStyle w:val="BodyText"/>
      </w:pPr>
      <w:r>
        <w:t xml:space="preserve">Quando uma tarefa ou responsabilidade for atribuída temporariamente, ela DEVE ser: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&lt;Explicitamente limitada no tempo desde o início (data final específica ou condição de conclusão).&gt;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&lt;Documentada como temporária no momento da atribuição.&gt;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&lt;Revisada antes da data final; convertida em papel formal ou encerrada.&gt;</w:t>
      </w:r>
    </w:p>
    <w:p>
      <w:pPr>
        <w:pStyle w:val="FirstParagraph"/>
      </w:pPr>
      <w:r>
        <w:rPr>
          <w:i/>
          <w:iCs/>
        </w:rPr>
        <w:t xml:space="preserve">&lt;Duração máxima de qualquer responsabilidade temporária antes que precise ser formalmente atribuída ou encerrada — por exemplo, 90 dias.&gt;</w:t>
      </w:r>
      <w:r>
        <w:t xml:space="preserve"> </w:t>
      </w:r>
      <w:r>
        <w:t xml:space="preserve">Se uma responsabilidade temporária não tiver responsável após sua data final, ela expira; não é transferida implicitamente.</w:t>
      </w:r>
    </w:p>
    <w:p>
      <w:r>
        <w:pict>
          <v:rect style="width:0;height:1.5pt" o:hralign="center" o:hrstd="t" o:hr="t"/>
        </w:pict>
      </w:r>
    </w:p>
    <w:bookmarkEnd w:id="21"/>
    <w:bookmarkStart w:id="22" w:name="interfaces-entre-papéis-e-domínios"/>
    <w:p>
      <w:pPr>
        <w:pStyle w:val="Heading2"/>
      </w:pPr>
      <w:r>
        <w:t xml:space="preserve">Interfaces entre Papéis e Domínios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8">
        <w:r>
          <w:rPr>
            <w:rStyle w:val="Hyperlink"/>
            <w:i/>
            <w:iCs/>
          </w:rPr>
          <w:t xml:space="preserve">7.6.3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7.3.4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mapear as transições explicitamente</w:t>
      </w:r>
      <w:r>
        <w:t xml:space="preserve"> </w:t>
      </w:r>
      <w:r>
        <w:t xml:space="preserve">&gt;</w:t>
      </w:r>
      <w:r>
        <w:t xml:space="preserve"> </w:t>
      </w:r>
      <w:r>
        <w:t xml:space="preserve">&gt; A maioria das falhas operacionais não acontece dentro de um papel, mas entre papéis — nas fronteiras onde o trabalho passa de um responsável para outro. Nomear as transições transforma dependências invisíveis em revisáveis e evita falhas do tipo</w:t>
      </w:r>
      <w:r>
        <w:t xml:space="preserve"> </w:t>
      </w:r>
      <w:r>
        <w:t xml:space="preserve">“achei que você tivesse cuidado disso”</w:t>
      </w:r>
      <w:r>
        <w:t xml:space="preserve">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Para cada par de papéis que passa trabalho entre si, nomeie a transição e o tipo de trabalho transferido.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De</w:t>
            </w:r>
          </w:p>
        </w:tc>
        <w:tc>
          <w:tcPr/>
          <w:p>
            <w:pPr>
              <w:pStyle w:val="Compact"/>
            </w:pPr>
            <w:r>
              <w:t xml:space="preserve">Para</w:t>
            </w:r>
          </w:p>
        </w:tc>
        <w:tc>
          <w:tcPr/>
          <w:p>
            <w:pPr>
              <w:pStyle w:val="Compact"/>
            </w:pPr>
            <w:r>
              <w:t xml:space="preserve">Transição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&lt;papel&gt;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&lt;papel&gt;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&lt;o que é entregue&gt;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&lt;papel&gt;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&lt;papel&gt;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</w:tr>
    </w:tbl>
    <w:bookmarkEnd w:id="22"/>
    <w:bookmarkStart w:id="23" w:name="limites-de-carga-de-trabalho"/>
    <w:p>
      <w:pPr>
        <w:pStyle w:val="Heading2"/>
      </w:pPr>
      <w:r>
        <w:t xml:space="preserve">Limites de Carga de Trabalho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6">
        <w:r>
          <w:rPr>
            <w:rStyle w:val="Hyperlink"/>
            <w:i/>
            <w:iCs/>
          </w:rPr>
          <w:t xml:space="preserve">7.4.1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6">
        <w:r>
          <w:rPr>
            <w:rStyle w:val="Hyperlink"/>
            <w:i/>
            <w:iCs/>
          </w:rPr>
          <w:t xml:space="preserve">7.4.2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6">
        <w:r>
          <w:rPr>
            <w:rStyle w:val="Hyperlink"/>
            <w:i/>
            <w:iCs/>
          </w:rPr>
          <w:t xml:space="preserve">7.4.3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9">
        <w:r>
          <w:rPr>
            <w:rStyle w:val="Hyperlink"/>
            <w:i/>
            <w:iCs/>
          </w:rPr>
          <w:t xml:space="preserve">7.7.3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tornar os limites de carga explícitos</w:t>
      </w:r>
      <w:r>
        <w:t xml:space="preserve"> </w:t>
      </w:r>
      <w:r>
        <w:t xml:space="preserve">&gt;</w:t>
      </w:r>
      <w:r>
        <w:t xml:space="preserve"> </w:t>
      </w:r>
      <w:r>
        <w:t xml:space="preserve">&gt; Carga de coordenação sem limites é o modo padrão de falha de comunidades voluntárias — ela silenciosamente esgota as pessoas mais comprometidas até que elas saiam. Limites explícitos e revisáveis fazem da capacidade uma preocupação compartilhada em vez de um fardo privado.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Defina limites para carga de reuniões, carga de papéis, expectativas de tempo de resposta e o caminho para renegociar responsabilidades.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Carga de reuniões:</w:t>
      </w:r>
      <w:r>
        <w:t xml:space="preserve"> </w:t>
      </w:r>
      <w:r>
        <w:rPr>
          <w:i/>
          <w:iCs/>
        </w:rPr>
        <w:t xml:space="preserve">&lt;cadência das reuniões recorrentes e duração máxima; regras para reuniões extraordinárias.&gt;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Carga de papéis:</w:t>
      </w:r>
      <w:r>
        <w:t xml:space="preserve"> </w:t>
      </w:r>
      <w:r>
        <w:rPr>
          <w:i/>
          <w:iCs/>
        </w:rPr>
        <w:t xml:space="preserve">&lt;limite, se houver; regra para sinalizar sobrecarga; janela de resolução.&gt;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Expectativas de tempo de resposta:</w:t>
      </w:r>
      <w:r>
        <w:t xml:space="preserve"> </w:t>
      </w:r>
      <w:r>
        <w:rPr>
          <w:i/>
          <w:iCs/>
        </w:rPr>
        <w:t xml:space="preserve">&lt;assíncrono não urgente; operacional urgente; crítico para a segurança.&gt;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Renegociação e alívio:</w:t>
      </w:r>
      <w:r>
        <w:t xml:space="preserve"> </w:t>
      </w:r>
      <w:r>
        <w:rPr>
          <w:i/>
          <w:iCs/>
        </w:rPr>
        <w:t xml:space="preserve">&lt;processo para redistribuir responsabilidades; janela de resolução.&gt;</w:t>
      </w:r>
    </w:p>
    <w:bookmarkEnd w:id="23"/>
    <w:bookmarkStart w:id="24" w:name="continuidade-operacional"/>
    <w:p>
      <w:pPr>
        <w:pStyle w:val="Heading2"/>
      </w:pPr>
      <w:r>
        <w:t xml:space="preserve">Continuidade Operacional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7">
        <w:r>
          <w:rPr>
            <w:rStyle w:val="Hyperlink"/>
            <w:i/>
            <w:iCs/>
          </w:rPr>
          <w:t xml:space="preserve">7.5.1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7">
        <w:r>
          <w:rPr>
            <w:rStyle w:val="Hyperlink"/>
            <w:i/>
            <w:iCs/>
          </w:rPr>
          <w:t xml:space="preserve">7.5.2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7">
        <w:r>
          <w:rPr>
            <w:rStyle w:val="Hyperlink"/>
            <w:i/>
            <w:iCs/>
          </w:rPr>
          <w:t xml:space="preserve">7.5.3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planejar a continuidade agora</w:t>
      </w:r>
      <w:r>
        <w:t xml:space="preserve"> </w:t>
      </w:r>
      <w:r>
        <w:t xml:space="preserve">&gt;</w:t>
      </w:r>
      <w:r>
        <w:t xml:space="preserve"> </w:t>
      </w:r>
      <w:r>
        <w:t xml:space="preserve">&gt; Uma comunidade que depende de uma pessoa insubstituível está a uma doença, um conflito ou uma saída do colapso. Nomear os pontos únicos de falha — honestamente — e incorporar a transição em cada papel é o que mantém a comunidade sobrevivendo aos seus fundadores.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Nomeie os atuais pontos únicos de falha honestamente. Estabeleça a exigência de transição para cada papel e a cadência de revisão da continuidade.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Estado atual:</w:t>
      </w:r>
      <w:r>
        <w:t xml:space="preserve"> </w:t>
      </w:r>
      <w:r>
        <w:rPr>
          <w:i/>
          <w:iCs/>
        </w:rPr>
        <w:t xml:space="preserve">&lt;lista honesta de pontos únicos de falha; plano de recrutamento para reduzir a concentração.&gt;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Mecanismos de transição:</w:t>
      </w:r>
      <w:r>
        <w:t xml:space="preserve"> </w:t>
      </w:r>
      <w:r>
        <w:rPr>
          <w:i/>
          <w:iCs/>
        </w:rPr>
        <w:t xml:space="preserve">&lt;consulte as exigências de transição por papel no Registro de Papéis; a transição DEVE ser concluída antes que um papel seja desocupado.&gt;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Cadência de revisão da continuidade:</w:t>
      </w:r>
      <w:r>
        <w:t xml:space="preserve"> </w:t>
      </w:r>
      <w:r>
        <w:rPr>
          <w:i/>
          <w:iCs/>
        </w:rPr>
        <w:t xml:space="preserve">&lt;trimestral; ad hoc em caso de mudança de papel.&gt;</w:t>
      </w:r>
    </w:p>
    <w:bookmarkEnd w:id="24"/>
    <w:bookmarkStart w:id="25" w:name="Xf28970e2eff1434633c1efa397e1c87e5f7f562"/>
    <w:p>
      <w:pPr>
        <w:pStyle w:val="Heading2"/>
      </w:pPr>
      <w:r>
        <w:t xml:space="preserve">Fluxo de Informação e Antibloqueio de Acesso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7.3.5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9">
        <w:r>
          <w:rPr>
            <w:rStyle w:val="Hyperlink"/>
            <w:i/>
            <w:iCs/>
          </w:rPr>
          <w:t xml:space="preserve">7.7.4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7.3.2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tratar o acesso à informação como uma questão de governança</w:t>
      </w:r>
      <w:r>
        <w:t xml:space="preserve"> </w:t>
      </w:r>
      <w:r>
        <w:t xml:space="preserve">&gt;</w:t>
      </w:r>
      <w:r>
        <w:t xml:space="preserve"> </w:t>
      </w:r>
      <w:r>
        <w:t xml:space="preserve">&gt; Quem controla o acesso à informação controla a comunidade, querendo ou não. Tornar as regras de acesso explícitas — e proibir pontos únicos de acesso — é o que impede que guardiões informais acumulem o tipo de poder que o sistema de governança deveria conter.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Estabeleça quais registros são abertos a todos os Membros Plenos, a janela de resposta para solicitações de informação e a regra contra pontos únicos de acesso a informações relevantes para a governança.</w:t>
      </w:r>
    </w:p>
    <w:p>
      <w:pPr>
        <w:pStyle w:val="Compact"/>
        <w:numPr>
          <w:ilvl w:val="0"/>
          <w:numId w:val="1006"/>
        </w:numPr>
      </w:pPr>
      <w:r>
        <w:rPr>
          <w:i/>
          <w:iCs/>
        </w:rPr>
        <w:t xml:space="preserve">&lt;Decisões de governança acessíveis a todos os Membros Plenos.&gt;</w:t>
      </w:r>
    </w:p>
    <w:p>
      <w:pPr>
        <w:pStyle w:val="Compact"/>
        <w:numPr>
          <w:ilvl w:val="0"/>
          <w:numId w:val="1006"/>
        </w:numPr>
      </w:pPr>
      <w:r>
        <w:rPr>
          <w:i/>
          <w:iCs/>
        </w:rPr>
        <w:t xml:space="preserve">&lt;Notas de reuniões publicadas em até X horas.&gt;</w:t>
      </w:r>
    </w:p>
    <w:p>
      <w:pPr>
        <w:pStyle w:val="Compact"/>
        <w:numPr>
          <w:ilvl w:val="0"/>
          <w:numId w:val="1006"/>
        </w:numPr>
      </w:pPr>
      <w:r>
        <w:rPr>
          <w:i/>
          <w:iCs/>
        </w:rPr>
        <w:t xml:space="preserve">&lt;Estado de adesão e atribuições de papéis acessíveis.&gt;</w:t>
      </w:r>
    </w:p>
    <w:p>
      <w:pPr>
        <w:pStyle w:val="Compact"/>
        <w:numPr>
          <w:ilvl w:val="0"/>
          <w:numId w:val="1006"/>
        </w:numPr>
      </w:pPr>
      <w:r>
        <w:rPr>
          <w:i/>
          <w:iCs/>
        </w:rPr>
        <w:t xml:space="preserve">&lt;Registros de contribuições acessíveis.&gt;</w:t>
      </w:r>
    </w:p>
    <w:p>
      <w:pPr>
        <w:pStyle w:val="Compact"/>
        <w:numPr>
          <w:ilvl w:val="0"/>
          <w:numId w:val="1006"/>
        </w:numPr>
      </w:pPr>
      <w:r>
        <w:rPr>
          <w:i/>
          <w:iCs/>
        </w:rPr>
        <w:t xml:space="preserve">&lt;Janela de resposta para solicitações de informação.&gt;</w:t>
      </w:r>
    </w:p>
    <w:p>
      <w:pPr>
        <w:pStyle w:val="Compact"/>
        <w:numPr>
          <w:ilvl w:val="0"/>
          <w:numId w:val="1006"/>
        </w:numPr>
      </w:pPr>
      <w:r>
        <w:rPr>
          <w:i/>
          <w:iCs/>
        </w:rPr>
        <w:t xml:space="preserve">&lt;Negar acesso a informações às quais os membros têm direito é um gatilho de responsabilização sob a Camada 4.&gt;</w:t>
      </w:r>
    </w:p>
    <w:p>
      <w:pPr>
        <w:pStyle w:val="Compact"/>
        <w:numPr>
          <w:ilvl w:val="0"/>
          <w:numId w:val="1006"/>
        </w:numPr>
      </w:pPr>
      <w:r>
        <w:rPr>
          <w:i/>
          <w:iCs/>
        </w:rPr>
        <w:t xml:space="preserve">&lt;Nenhum papel ou indivíduo PODE ser o único ponto de acesso a informações requeridas por outros responsáveis por papéis.&gt;</w:t>
      </w:r>
    </w:p>
    <w:p>
      <w:r>
        <w:pict>
          <v:rect style="width:0;height:1.5pt" o:hralign="center" o:hrstd="t" o:hr="t"/>
        </w:pict>
      </w:r>
    </w:p>
    <w:bookmarkEnd w:id="25"/>
    <w:bookmarkStart w:id="26" w:name="X24c39b4f76cbc70d70a5d57b74367a3eef38bca"/>
    <w:p>
      <w:pPr>
        <w:pStyle w:val="Heading2"/>
      </w:pPr>
      <w:r>
        <w:t xml:space="preserve">Localização da Documentação e Procedimentos de Atualização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7.3.1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7.3.2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7.3.3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nomear onde cada documento vive</w:t>
      </w:r>
      <w:r>
        <w:t xml:space="preserve"> </w:t>
      </w:r>
      <w:r>
        <w:t xml:space="preserve">&gt;</w:t>
      </w:r>
      <w:r>
        <w:t xml:space="preserve"> </w:t>
      </w:r>
      <w:r>
        <w:t xml:space="preserve">&gt; Se ninguém consegue dizer onde mora a versão canônica de algo, não há versão canônica. Nomear a localização, a pessoa responsável e a cadência de revisão para cada tipo de documento é o que torna a memória da comunidade auditável em vez de folclórica.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Para cada tipo de documento, nomeie a localização canônica, a pessoa responsável e a cadência de revisão.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Tipo de documento</w:t>
            </w:r>
          </w:p>
        </w:tc>
        <w:tc>
          <w:tcPr/>
          <w:p>
            <w:pPr>
              <w:pStyle w:val="Compact"/>
            </w:pPr>
            <w:r>
              <w:t xml:space="preserve">Localização</w:t>
            </w:r>
          </w:p>
        </w:tc>
        <w:tc>
          <w:tcPr/>
          <w:p>
            <w:pPr>
              <w:pStyle w:val="Compact"/>
            </w:pPr>
            <w:r>
              <w:t xml:space="preserve">Responsável</w:t>
            </w:r>
          </w:p>
        </w:tc>
        <w:tc>
          <w:tcPr/>
          <w:p>
            <w:pPr>
              <w:pStyle w:val="Compact"/>
            </w:pPr>
            <w:r>
              <w:t xml:space="preserve">Cadência de revisão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&lt;Artefatos RCOS&gt;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&lt;localização&gt;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&lt;responsável&gt;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&lt;cadência&gt;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&lt;Registro de membros&gt;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&lt;localização&gt;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&lt;responsável&gt;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&lt;cadência&gt;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&lt;Notas de reuniões&gt;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&lt;localização&gt;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&lt;responsável&gt;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&lt;cadência&gt;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&lt;Propostas de governança&gt;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&lt;localização&gt;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&lt;responsável&gt;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&lt;cadência&gt;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&lt;Registros de contribuições&gt;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&lt;localização&gt;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&lt;responsável&gt;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&lt;cadência&gt;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6"/>
    <w:bookmarkStart w:id="27" w:name="registro-de-ratificação"/>
    <w:p>
      <w:pPr>
        <w:pStyle w:val="Heading2"/>
      </w:pPr>
      <w:r>
        <w:t xml:space="preserve">Registro de Ratificação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Adotado em:</w:t>
      </w:r>
      <w:r>
        <w:t xml:space="preserve"> </w:t>
      </w:r>
      <w:r>
        <w:t xml:space="preserve">&lt;AAAA-MM-DD&gt;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Tipo de decisão:</w:t>
      </w:r>
      <w:r>
        <w:t xml:space="preserve"> </w:t>
      </w:r>
      <w:r>
        <w:t xml:space="preserve">Estratégica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Versão:</w:t>
      </w:r>
      <w:r>
        <w:t xml:space="preserve"> </w:t>
      </w:r>
      <w:r>
        <w:t xml:space="preserve">&lt;versão&gt;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Registro da decisão:</w:t>
      </w:r>
      <w:r>
        <w:t xml:space="preserve"> </w:t>
      </w:r>
      <w:r>
        <w:t xml:space="preserve">&lt;link para o registro da decisão&gt;</w:t>
      </w:r>
    </w:p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4" Target="https://rcos.ecohubs.community/pt-br/articles/rcos-core/v0-1/layer-5-operations-coordination#71-roles-and-responsibilities" TargetMode="External" /><Relationship Type="http://schemas.openxmlformats.org/officeDocument/2006/relationships/hyperlink" Id="rId15" Target="https://rcos.ecohubs.community/pt-br/articles/rcos-core/v0-1/layer-5-operations-coordination#73-documentation-and-information-flow" TargetMode="External" /><Relationship Type="http://schemas.openxmlformats.org/officeDocument/2006/relationships/hyperlink" Id="rId16" Target="https://rcos.ecohubs.community/pt-br/articles/rcos-core/v0-1/layer-5-operations-coordination#74-workload-and-capacity-boundaries" TargetMode="External" /><Relationship Type="http://schemas.openxmlformats.org/officeDocument/2006/relationships/hyperlink" Id="rId17" Target="https://rcos.ecohubs.community/pt-br/articles/rcos-core/v0-1/layer-5-operations-coordination#75-operational-continuity" TargetMode="External" /><Relationship Type="http://schemas.openxmlformats.org/officeDocument/2006/relationships/hyperlink" Id="rId18" Target="https://rcos.ecohubs.community/pt-br/articles/rcos-core/v0-1/layer-5-operations-coordination#76-artifacts" TargetMode="External" /><Relationship Type="http://schemas.openxmlformats.org/officeDocument/2006/relationships/hyperlink" Id="rId19" Target="https://rcos.ecohubs.community/pt-br/articles/rcos-core/v0-1/layer-5-operations-coordination#77-layer-invariant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5/operations-man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https://rcos.ecohubs.community/pt-br/articles/rcos-core/v0-1/layer-5-operations-coordination#71-roles-and-responsibilities" TargetMode="External" /><Relationship Type="http://schemas.openxmlformats.org/officeDocument/2006/relationships/hyperlink" Id="rId15" Target="https://rcos.ecohubs.community/pt-br/articles/rcos-core/v0-1/layer-5-operations-coordination#73-documentation-and-information-flow" TargetMode="External" /><Relationship Type="http://schemas.openxmlformats.org/officeDocument/2006/relationships/hyperlink" Id="rId16" Target="https://rcos.ecohubs.community/pt-br/articles/rcos-core/v0-1/layer-5-operations-coordination#74-workload-and-capacity-boundaries" TargetMode="External" /><Relationship Type="http://schemas.openxmlformats.org/officeDocument/2006/relationships/hyperlink" Id="rId17" Target="https://rcos.ecohubs.community/pt-br/articles/rcos-core/v0-1/layer-5-operations-coordination#75-operational-continuity" TargetMode="External" /><Relationship Type="http://schemas.openxmlformats.org/officeDocument/2006/relationships/hyperlink" Id="rId18" Target="https://rcos.ecohubs.community/pt-br/articles/rcos-core/v0-1/layer-5-operations-coordination#76-artifacts" TargetMode="External" /><Relationship Type="http://schemas.openxmlformats.org/officeDocument/2006/relationships/hyperlink" Id="rId19" Target="https://rcos.ecohubs.community/pt-br/articles/rcos-core/v0-1/layer-5-operations-coordination#77-layer-invariant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5/operations-man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2026-07-07T15:16:02Z</dcterms:created>
  <dcterms:modified xsi:type="dcterms:W3CDTF">2026-07-07T15:16:02Z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-meta">
    <vt:lpwstr>Manual de Operações</vt:lpwstr>
  </property>
</Properties>
</file>