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609600" cy="609600"/>
            <wp:effectExtent b="0" l="0" r="0" t="0"/>
            <wp:docPr descr="RCOS" title="" id="10" name="Picture"/>
            <a:graphic>
              <a:graphicData uri="http://schemas.openxmlformats.org/drawingml/2006/picture">
                <pic:pic>
                  <pic:nvPicPr>
                    <pic:cNvPr descr="/Users/el_stefano/Documents/Development/svelte/regenerative-community-blueprint/scripts/logo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  <w:bCs/>
        </w:rPr>
        <w:t xml:space="preserve">RCOS — Sistema Operacional de Comunidade Regenerativa</w:t>
      </w:r>
    </w:p>
    <w:bookmarkStart w:id="35" w:name="modelos-de-reunião"/>
    <w:p>
      <w:pPr>
        <w:pStyle w:val="Heading1"/>
      </w:pPr>
      <w:r>
        <w:t xml:space="preserve">Modelos de Reunião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Gerado em:</w:t>
      </w:r>
      <w:r>
        <w:t xml:space="preserve"> </w:t>
      </w:r>
      <w:r>
        <w:t xml:space="preserve">2026-07-07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Fonte (versão mais recente):</w:t>
      </w:r>
      <w:r>
        <w:t xml:space="preserve"> </w:t>
      </w:r>
      <w:hyperlink r:id="rId12">
        <w:r>
          <w:rPr>
            <w:rStyle w:val="Hyperlink"/>
          </w:rPr>
          <w:t xml:space="preserve">https://rcos.ecohubs.community/pt-br/articles/rcos-templates/layer-5/meeting-templates</w:t>
        </w:r>
      </w:hyperlink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Todos os modelos RCOS:</w:t>
      </w:r>
      <w:r>
        <w:t xml:space="preserve"> </w:t>
      </w:r>
      <w:hyperlink r:id="rId13">
        <w:r>
          <w:rPr>
            <w:rStyle w:val="Hyperlink"/>
          </w:rPr>
          <w:t xml:space="preserve">https://rcos.ecohubs.community/pt-br/articles/rcos-templates</w:t>
        </w:r>
      </w:hyperlink>
    </w:p>
    <w:p>
      <w:r>
        <w:pict>
          <v:rect style="width:0;height:1.5pt" o:hralign="center" o:hrstd="t" o:hr="t"/>
        </w:pic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Camada:</w:t>
      </w:r>
      <w:r>
        <w:t xml:space="preserve"> </w:t>
      </w:r>
      <w:r>
        <w:t xml:space="preserve">5 — Operações e Coordenação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Status:</w:t>
      </w:r>
      <w:r>
        <w:t xml:space="preserve"> </w:t>
      </w:r>
      <w:r>
        <w:t xml:space="preserve">Modelo — adapte para sua comunidade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Referência RCOS:</w:t>
      </w:r>
      <w:r>
        <w:t xml:space="preserve"> </w:t>
      </w:r>
      <w:hyperlink r:id="rId14">
        <w:r>
          <w:rPr>
            <w:rStyle w:val="Hyperlink"/>
          </w:rPr>
          <w:t xml:space="preserve">§7.2</w:t>
        </w:r>
      </w:hyperlink>
      <w:r>
        <w:t xml:space="preserve">,</w:t>
      </w:r>
      <w:r>
        <w:t xml:space="preserve"> </w:t>
      </w:r>
      <w:hyperlink r:id="rId15">
        <w:r>
          <w:rPr>
            <w:rStyle w:val="Hyperlink"/>
          </w:rPr>
          <w:t xml:space="preserve">§7.6</w:t>
        </w:r>
      </w:hyperlink>
    </w:p>
    <w:p>
      <w:pPr>
        <w:pStyle w:val="FirstParagraph"/>
      </w:pPr>
      <w:r>
        <w:t xml:space="preserve">&gt; Os modelos de reunião declaram o propósito, o escopo de decisão, o quórum e a estrutura de cada tipo de reunião. Uma reunião sem um modelo declarado, com tempo suficiente, acumulará autoridade que não deveria ter. Adapte estes modelos e adicione ou remova tipos de reunião conforme sua comunidade precisar.</w:t>
      </w:r>
    </w:p>
    <w:p>
      <w:r>
        <w:pict>
          <v:rect style="width:0;height:1.5pt" o:hralign="center" o:hrstd="t" o:hr="t"/>
        </w:pict>
      </w:r>
    </w:p>
    <w:bookmarkStart w:id="19" w:name="tipo-de-reunião-operações"/>
    <w:p>
      <w:pPr>
        <w:pStyle w:val="Heading2"/>
      </w:pPr>
      <w:r>
        <w:t xml:space="preserve">Tipo de Reunião: Operações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7.2.1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7.2.2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7.2.3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7.2.4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7.6.4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uma reunião regular de Operações</w:t>
      </w:r>
      <w:r>
        <w:t xml:space="preserve"> </w:t>
      </w:r>
      <w:r>
        <w:t xml:space="preserve">&gt;</w:t>
      </w:r>
      <w:r>
        <w:t xml:space="preserve"> </w:t>
      </w:r>
      <w:r>
        <w:t xml:space="preserve">&gt; A coordenação do dia a dia precisa de uma cadência regular, não de improvisação ad-hoc. A reunião de Operações é o batimento cardíaco da comunidade — um espaço previsível para revisar o trabalho ativo, trazer à tona bloqueios e tomar pequenas decisões operacionais. Crucialmente, apenas decisões Operacionais acontecem aqui; as Estratégicas e Constitucionais passam pelo processo de governança, para que a reunião não acumule silenciosamente uma autoridade que não tem.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Defina propósito, escopo de decisão, participantes obrigatórios e opcionais, cadência, duração e regras de facilitação. Mantenha o escopo de decisão apenas como Operacional.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Propósito:</w:t>
      </w:r>
      <w:r>
        <w:t xml:space="preserve"> </w:t>
      </w:r>
      <w:r>
        <w:rPr>
          <w:i/>
          <w:iCs/>
        </w:rPr>
        <w:t xml:space="preserve">&lt;revisar trabalho ativo, coordenar tarefas, trazer à tona bloqueios, tomar decisões operacionais.&gt;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Escopo de decisão:</w:t>
      </w:r>
      <w:r>
        <w:t xml:space="preserve"> </w:t>
      </w:r>
      <w:r>
        <w:t xml:space="preserve">Apenas decisões operacionais — não pode tomar decisões Estratégicas ou Constitucionais.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Participantes obrigatórios:</w:t>
      </w:r>
      <w:r>
        <w:t xml:space="preserve"> </w:t>
      </w:r>
      <w:r>
        <w:rPr>
          <w:i/>
          <w:iCs/>
        </w:rPr>
        <w:t xml:space="preserve">&lt;quem é convidado; quórum mínimo.&gt;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Participantes opcionais:</w:t>
      </w:r>
      <w:r>
        <w:t xml:space="preserve"> </w:t>
      </w:r>
      <w:r>
        <w:rPr>
          <w:i/>
          <w:iCs/>
        </w:rPr>
        <w:t xml:space="preserve">&lt;quem pode comparecer mediante convite.&gt;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Cadência:</w:t>
      </w:r>
      <w:r>
        <w:t xml:space="preserve"> </w:t>
      </w:r>
      <w:r>
        <w:rPr>
          <w:i/>
          <w:iCs/>
        </w:rPr>
        <w:t xml:space="preserve">&lt;semanal / quinzenal / mensal.&gt;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Limite de duração:</w:t>
      </w:r>
      <w:r>
        <w:t xml:space="preserve"> </w:t>
      </w:r>
      <w:r>
        <w:rPr>
          <w:i/>
          <w:iCs/>
        </w:rPr>
        <w:t xml:space="preserve">&lt;ex.: 90 minutos no máximo.&gt;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Facilitação:</w:t>
      </w:r>
      <w:r>
        <w:t xml:space="preserve"> </w:t>
      </w:r>
      <w:r>
        <w:rPr>
          <w:i/>
          <w:iCs/>
        </w:rPr>
        <w:t xml:space="preserve">&lt;papel do facilitador; regra de substituição.&gt;</w:t>
      </w:r>
    </w:p>
    <w:bookmarkStart w:id="16" w:name="estrutura-da-pauta"/>
    <w:p>
      <w:pPr>
        <w:pStyle w:val="Heading3"/>
      </w:pPr>
      <w:r>
        <w:t xml:space="preserve">Estrutura da Pauta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Check-in</w:t>
      </w:r>
      <w:r>
        <w:t xml:space="preserve"> </w:t>
      </w:r>
      <w:r>
        <w:rPr>
          <w:i/>
          <w:iCs/>
        </w:rPr>
        <w:t xml:space="preserve">&lt;duração&gt;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Revisão das ações anteriores</w:t>
      </w:r>
      <w:r>
        <w:t xml:space="preserve"> </w:t>
      </w:r>
      <w:r>
        <w:rPr>
          <w:i/>
          <w:iCs/>
        </w:rPr>
        <w:t xml:space="preserve">&lt;duração&gt;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Atualizações de papéis e domínios</w:t>
      </w:r>
      <w:r>
        <w:t xml:space="preserve"> </w:t>
      </w:r>
      <w:r>
        <w:rPr>
          <w:i/>
          <w:iCs/>
        </w:rPr>
        <w:t xml:space="preserve">&lt;duração&gt;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Itens ativos da pauta</w:t>
      </w:r>
      <w:r>
        <w:t xml:space="preserve"> </w:t>
      </w:r>
      <w:r>
        <w:rPr>
          <w:i/>
          <w:iCs/>
        </w:rPr>
        <w:t xml:space="preserve">&lt;duração&gt;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Decisões operacionais</w:t>
      </w:r>
      <w:r>
        <w:t xml:space="preserve"> </w:t>
      </w:r>
      <w:r>
        <w:rPr>
          <w:i/>
          <w:iCs/>
        </w:rPr>
        <w:t xml:space="preserve">&lt;duração&gt;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Próximas ações e responsáveis</w:t>
      </w:r>
      <w:r>
        <w:t xml:space="preserve"> </w:t>
      </w:r>
      <w:r>
        <w:rPr>
          <w:i/>
          <w:iCs/>
        </w:rPr>
        <w:t xml:space="preserve">&lt;duração&gt;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Check-out</w:t>
      </w:r>
      <w:r>
        <w:t xml:space="preserve"> </w:t>
      </w:r>
      <w:r>
        <w:rPr>
          <w:i/>
          <w:iCs/>
        </w:rPr>
        <w:t xml:space="preserve">&lt;duração; opcional&gt;</w:t>
      </w:r>
    </w:p>
    <w:bookmarkEnd w:id="16"/>
    <w:bookmarkStart w:id="17" w:name="notas-e-registros"/>
    <w:p>
      <w:pPr>
        <w:pStyle w:val="Heading3"/>
      </w:pPr>
      <w:r>
        <w:t xml:space="preserve">Notas e Registros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Data: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Facilitador(a):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Presentes: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Notas:</w:t>
      </w:r>
    </w:p>
    <w:bookmarkEnd w:id="17"/>
    <w:bookmarkStart w:id="18" w:name="registro-de-decisão-se-aplicável"/>
    <w:p>
      <w:pPr>
        <w:pStyle w:val="Heading3"/>
      </w:pPr>
      <w:r>
        <w:t xml:space="preserve">Registro de Decisão (se aplicável)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Tipo de decisão:</w:t>
      </w:r>
      <w:r>
        <w:t xml:space="preserve"> </w:t>
      </w:r>
      <w:r>
        <w:t xml:space="preserve">Operacional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Autoridade:</w:t>
      </w:r>
      <w:r>
        <w:t xml:space="preserve"> </w:t>
      </w:r>
      <w:r>
        <w:rPr>
          <w:i/>
          <w:iCs/>
        </w:rPr>
        <w:t xml:space="preserve">&lt;titular do papel conforme a Matriz de Decisão&gt;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Mecanismo / limiar:</w:t>
      </w:r>
      <w:r>
        <w:t xml:space="preserve"> </w:t>
      </w:r>
      <w:r>
        <w:t xml:space="preserve">Autoridade delegada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Resultado:</w:t>
      </w:r>
      <w:r>
        <w:t xml:space="preserve"> </w:t>
      </w:r>
      <w:r>
        <w:rPr>
          <w:i/>
          <w:iCs/>
        </w:rPr>
        <w:t xml:space="preserve">&lt;o que foi decidido&gt;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Data de vigência: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Arquivado em:</w:t>
      </w:r>
      <w:r>
        <w:t xml:space="preserve"> </w:t>
      </w:r>
      <w:r>
        <w:rPr>
          <w:i/>
          <w:iCs/>
        </w:rPr>
        <w:t xml:space="preserve">&lt;localização&gt;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3" w:name="tipo-de-reunião-governança"/>
    <w:p>
      <w:pPr>
        <w:pStyle w:val="Heading2"/>
      </w:pPr>
      <w:r>
        <w:t xml:space="preserve">Tipo de Reunião: Governança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7.2.1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7.2.2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7.2.3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7.6.4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separar a deliberação da votação vinculante</w:t>
      </w:r>
      <w:r>
        <w:t xml:space="preserve"> </w:t>
      </w:r>
      <w:r>
        <w:t xml:space="preserve">&gt;</w:t>
      </w:r>
      <w:r>
        <w:t xml:space="preserve"> </w:t>
      </w:r>
      <w:r>
        <w:t xml:space="preserve">&gt; Se uma reunião pode tanto discutir quanto decidir, quem estiver na sala naquele dia acaba decidindo — independentemente das regras de quórum ou autoridade. Manter a deliberação separada da votação vinculante preserva a integridade da Matriz de Decisão e garante que membros ausentes ainda tenham voto.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Esta reunião delibera sobre propostas ativas durante seu período de deliberação. A decisão vinculante é tomada por meio do processo de governança conforme a Matriz de Decisão.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Propósito:</w:t>
      </w:r>
      <w:r>
        <w:t xml:space="preserve"> </w:t>
      </w:r>
      <w:r>
        <w:t xml:space="preserve">Deliberar sobre uma proposta ativa durante seu período de deliberação.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Escopo de decisão:</w:t>
      </w:r>
      <w:r>
        <w:t xml:space="preserve"> </w:t>
      </w:r>
      <w:r>
        <w:t xml:space="preserve">Apenas deliberação — a decisão vinculante é tomada por meio do processo de governança conforme a Matriz de Decisão.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Participantes obrigatórios:</w:t>
      </w:r>
      <w:r>
        <w:t xml:space="preserve"> </w:t>
      </w:r>
      <w:r>
        <w:rPr>
          <w:i/>
          <w:iCs/>
        </w:rPr>
        <w:t xml:space="preserve">&lt;todos os Membros Plenos convidados; o(a) proponente DEVE estar presente.&gt;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Participantes opcionais:</w:t>
      </w:r>
      <w:r>
        <w:t xml:space="preserve"> </w:t>
      </w:r>
      <w:r>
        <w:rPr>
          <w:i/>
          <w:iCs/>
        </w:rPr>
        <w:t xml:space="preserve">&lt;quem pode observar.&gt;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Cadência:</w:t>
      </w:r>
      <w:r>
        <w:t xml:space="preserve"> </w:t>
      </w:r>
      <w:r>
        <w:rPr>
          <w:i/>
          <w:iCs/>
        </w:rPr>
        <w:t xml:space="preserve">&lt;conforme necessário durante períodos de deliberação.&gt;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Limite de duração:</w:t>
      </w:r>
      <w:r>
        <w:t xml:space="preserve"> </w:t>
      </w:r>
      <w:r>
        <w:rPr>
          <w:i/>
          <w:iCs/>
        </w:rPr>
        <w:t xml:space="preserve">&lt;ex.: 60 minutos no máximo.&gt;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Facilitação:</w:t>
      </w:r>
      <w:r>
        <w:t xml:space="preserve"> </w:t>
      </w:r>
      <w:r>
        <w:rPr>
          <w:i/>
          <w:iCs/>
        </w:rPr>
        <w:t xml:space="preserve">&lt;papel do facilitador.&gt;</w:t>
      </w:r>
    </w:p>
    <w:bookmarkStart w:id="20" w:name="estrutura-da-pauta-1"/>
    <w:p>
      <w:pPr>
        <w:pStyle w:val="Heading3"/>
      </w:pPr>
      <w:r>
        <w:t xml:space="preserve">Estrutura da Pauta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Check-in</w:t>
      </w:r>
      <w:r>
        <w:t xml:space="preserve"> </w:t>
      </w:r>
      <w:r>
        <w:rPr>
          <w:i/>
          <w:iCs/>
        </w:rPr>
        <w:t xml:space="preserve">&lt;duração&gt;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Resumo da proposta</w:t>
      </w:r>
      <w:r>
        <w:t xml:space="preserve"> </w:t>
      </w:r>
      <w:r>
        <w:rPr>
          <w:i/>
          <w:iCs/>
        </w:rPr>
        <w:t xml:space="preserve">&lt;duração — o(a) proponente apresenta a proposta: o que muda, por quê, e alternativas consideradas.&gt;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Perguntas de esclarecimento</w:t>
      </w:r>
      <w:r>
        <w:t xml:space="preserve"> </w:t>
      </w:r>
      <w:r>
        <w:rPr>
          <w:i/>
          <w:iCs/>
        </w:rPr>
        <w:t xml:space="preserve">&lt;duração — apenas perguntas factuais; ainda sem defesa de posições.&gt;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Deliberação aberta</w:t>
      </w:r>
      <w:r>
        <w:t xml:space="preserve"> </w:t>
      </w:r>
      <w:r>
        <w:rPr>
          <w:i/>
          <w:iCs/>
        </w:rPr>
        <w:t xml:space="preserve">&lt;duração.&gt;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Resumo de posições e próximos passos</w:t>
      </w:r>
      <w:r>
        <w:t xml:space="preserve"> </w:t>
      </w:r>
      <w:r>
        <w:rPr>
          <w:i/>
          <w:iCs/>
        </w:rPr>
        <w:t xml:space="preserve">&lt;duração — o(a) facilitador(a) resume; confirma o cronograma da votação.&gt;</w:t>
      </w:r>
    </w:p>
    <w:bookmarkEnd w:id="20"/>
    <w:bookmarkStart w:id="21" w:name="notas-e-registros-1"/>
    <w:p>
      <w:pPr>
        <w:pStyle w:val="Heading3"/>
      </w:pPr>
      <w:r>
        <w:t xml:space="preserve">Notas e Registros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Data: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Facilitador(a):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Presentes: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Notas:</w:t>
      </w:r>
    </w:p>
    <w:bookmarkEnd w:id="21"/>
    <w:bookmarkStart w:id="22" w:name="registro-de-decisão"/>
    <w:p>
      <w:pPr>
        <w:pStyle w:val="Heading3"/>
      </w:pPr>
      <w:r>
        <w:t xml:space="preserve">Registro de Decisão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Referência da proposta:</w:t>
      </w:r>
      <w:r>
        <w:t xml:space="preserve"> </w:t>
      </w:r>
      <w:r>
        <w:rPr>
          <w:i/>
          <w:iCs/>
        </w:rPr>
        <w:t xml:space="preserve">&lt;link para a proposta&gt;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Tipo de decisão:</w:t>
      </w:r>
      <w:r>
        <w:t xml:space="preserve"> </w:t>
      </w:r>
      <w:r>
        <w:rPr>
          <w:i/>
          <w:iCs/>
        </w:rPr>
        <w:t xml:space="preserve">&lt;Estratégica / Constitucional&gt;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Autoridade:</w:t>
      </w:r>
      <w:r>
        <w:t xml:space="preserve"> </w:t>
      </w:r>
      <w:r>
        <w:t xml:space="preserve">Membros Plenos (coletivo)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Mecanismo / limiar:</w:t>
      </w:r>
      <w:r>
        <w:t xml:space="preserve"> </w:t>
      </w:r>
      <w:r>
        <w:rPr>
          <w:i/>
          <w:iCs/>
        </w:rPr>
        <w:t xml:space="preserve">&lt;mecanismo de votação + limiar&gt;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Resultado:</w:t>
      </w:r>
      <w:r>
        <w:t xml:space="preserve"> </w:t>
      </w:r>
      <w:r>
        <w:rPr>
          <w:i/>
          <w:iCs/>
        </w:rPr>
        <w:t xml:space="preserve">&lt;Aprovada / Rejeitada / Adiada&gt;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Data de vigência: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Link da votação: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6" w:name="X80661e7bc52919629360dde13bc0355aa74f631"/>
    <w:p>
      <w:pPr>
        <w:pStyle w:val="Heading2"/>
      </w:pPr>
      <w:r>
        <w:t xml:space="preserve">Tipo de Reunião: Coordenação e Alinhamento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7.2.1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7.2.2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7.2.3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7.6.4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uma reunião dedicada à coordenação</w:t>
      </w:r>
      <w:r>
        <w:t xml:space="preserve"> </w:t>
      </w:r>
      <w:r>
        <w:t xml:space="preserve">&gt;</w:t>
      </w:r>
      <w:r>
        <w:t xml:space="preserve"> </w:t>
      </w:r>
      <w:r>
        <w:t xml:space="preserve">&gt; Alguns bloqueios atravessam mais de um papel e não podem ser resolvidos no ritmo regular de Operações. Coordenação e Alinhamento dá ao trabalho entre papéis seu próprio espaço — para dependências, transições e prioridades conflitantes — para que a reunião semanal não cresça desordenadamente tentando absorver tudo.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Use este modelo quando for necessária coordenação entre papéis. Mantenha o escopo de decisão apenas como Operacional e limite os participantes obrigatórios àqueles com iniciativas ativas.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Propósito:</w:t>
      </w:r>
      <w:r>
        <w:t xml:space="preserve"> </w:t>
      </w:r>
      <w:r>
        <w:t xml:space="preserve">Sincronizar o trabalho entre papéis e iniciativas; trazer à tona dependências e bloqueios; alinhar prioridades.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Escopo de decisão:</w:t>
      </w:r>
      <w:r>
        <w:t xml:space="preserve"> </w:t>
      </w:r>
      <w:r>
        <w:t xml:space="preserve">Apenas decisões operacionais.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Participantes obrigatórios:</w:t>
      </w:r>
      <w:r>
        <w:t xml:space="preserve"> </w:t>
      </w:r>
      <w:r>
        <w:rPr>
          <w:i/>
          <w:iCs/>
        </w:rPr>
        <w:t xml:space="preserve">&lt;titulares de papéis com iniciativas ativas.&gt;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Participantes opcionais:</w:t>
      </w:r>
      <w:r>
        <w:t xml:space="preserve"> </w:t>
      </w:r>
      <w:r>
        <w:rPr>
          <w:i/>
          <w:iCs/>
        </w:rPr>
        <w:t xml:space="preserve">&lt;todos os Membros Plenos são bem-vindos.&gt;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Cadência:</w:t>
      </w:r>
      <w:r>
        <w:t xml:space="preserve"> </w:t>
      </w:r>
      <w:r>
        <w:rPr>
          <w:i/>
          <w:iCs/>
        </w:rPr>
        <w:t xml:space="preserve">&lt;mensal ou conforme necessário.&gt;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Limite de duração:</w:t>
      </w:r>
      <w:r>
        <w:t xml:space="preserve"> </w:t>
      </w:r>
      <w:r>
        <w:rPr>
          <w:i/>
          <w:iCs/>
        </w:rPr>
        <w:t xml:space="preserve">&lt;ex.: 60 minutos.&gt;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Facilitação:</w:t>
      </w:r>
      <w:r>
        <w:t xml:space="preserve"> </w:t>
      </w:r>
      <w:r>
        <w:rPr>
          <w:i/>
          <w:iCs/>
        </w:rPr>
        <w:t xml:space="preserve">&lt;facilitador(a); regra de substituição.&gt;</w:t>
      </w:r>
    </w:p>
    <w:bookmarkStart w:id="24" w:name="estrutura-da-pauta-2"/>
    <w:p>
      <w:pPr>
        <w:pStyle w:val="Heading3"/>
      </w:pPr>
      <w:r>
        <w:t xml:space="preserve">Estrutura da Pauta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Check-in</w:t>
      </w:r>
      <w:r>
        <w:t xml:space="preserve"> </w:t>
      </w:r>
      <w:r>
        <w:rPr>
          <w:i/>
          <w:iCs/>
        </w:rPr>
        <w:t xml:space="preserve">&lt;duração&gt;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Atualizações de status das iniciativas</w:t>
      </w:r>
      <w:r>
        <w:t xml:space="preserve"> </w:t>
      </w:r>
      <w:r>
        <w:rPr>
          <w:i/>
          <w:iCs/>
        </w:rPr>
        <w:t xml:space="preserve">&lt;duração&gt;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Bloqueios e dependências</w:t>
      </w:r>
      <w:r>
        <w:t xml:space="preserve"> </w:t>
      </w:r>
      <w:r>
        <w:rPr>
          <w:i/>
          <w:iCs/>
        </w:rPr>
        <w:t xml:space="preserve">&lt;duração&gt;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Próximos passos</w:t>
      </w:r>
      <w:r>
        <w:t xml:space="preserve"> </w:t>
      </w:r>
      <w:r>
        <w:rPr>
          <w:i/>
          <w:iCs/>
        </w:rPr>
        <w:t xml:space="preserve">&lt;duração&gt;</w:t>
      </w:r>
    </w:p>
    <w:bookmarkEnd w:id="24"/>
    <w:bookmarkStart w:id="25" w:name="notas-e-registros-2"/>
    <w:p>
      <w:pPr>
        <w:pStyle w:val="Heading3"/>
      </w:pPr>
      <w:r>
        <w:t xml:space="preserve">Notas e Registros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Data: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Facilitador(a):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Presentes: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Notas: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29" w:name="tipo-de-reunião-reflexão-e-aprendizado"/>
    <w:p>
      <w:pPr>
        <w:pStyle w:val="Heading2"/>
      </w:pPr>
      <w:r>
        <w:t xml:space="preserve">Tipo de Reunião: Reflexão e Aprendizado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7.2.1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7.2.2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7.2.3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7.6.4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dar à reflexão seu próprio tipo de reunião</w:t>
      </w:r>
      <w:r>
        <w:t xml:space="preserve"> </w:t>
      </w:r>
      <w:r>
        <w:t xml:space="preserve">&gt;</w:t>
      </w:r>
      <w:r>
        <w:t xml:space="preserve"> </w:t>
      </w:r>
      <w:r>
        <w:t xml:space="preserve">&gt; A reflexão que só acontece quando o tempo permite nunca acontece. Um tipo de reunião nomeado e com cadência definida abre espaço para olhar para trás — e impede que a retrospectiva seja espremida pela urgência operacional. Sem ela, o Registro de Aprendizado (Camada 6) fica vazio e o framework para de evoluir.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Esta reunião revisa o período mais recente e alimenta insights no Registro de Aprendizado (Camada 6) e na fila de Propostas Futuras.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Propósito:</w:t>
      </w:r>
      <w:r>
        <w:t xml:space="preserve"> </w:t>
      </w:r>
      <w:r>
        <w:t xml:space="preserve">Revisar a experiência, identificar padrões, capturar aprendizados, devolver insights ao framework.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Escopo de decisão:</w:t>
      </w:r>
      <w:r>
        <w:t xml:space="preserve"> </w:t>
      </w:r>
      <w:r>
        <w:t xml:space="preserve">PODE gerar propostas de mudança; sem autoridade direta de decisão, salvo se especificado na Matriz de Decisão.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Participantes obrigatórios:</w:t>
      </w:r>
      <w:r>
        <w:t xml:space="preserve"> </w:t>
      </w:r>
      <w:r>
        <w:rPr>
          <w:i/>
          <w:iCs/>
        </w:rPr>
        <w:t xml:space="preserve">&lt;todos os Membros Plenos convidados.&gt;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Cadência:</w:t>
      </w:r>
      <w:r>
        <w:t xml:space="preserve"> </w:t>
      </w:r>
      <w:r>
        <w:rPr>
          <w:i/>
          <w:iCs/>
        </w:rPr>
        <w:t xml:space="preserve">&lt;trimestral.&gt;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Limite de duração:</w:t>
      </w:r>
      <w:r>
        <w:t xml:space="preserve"> </w:t>
      </w:r>
      <w:r>
        <w:rPr>
          <w:i/>
          <w:iCs/>
        </w:rPr>
        <w:t xml:space="preserve">&lt;ex.: 90 minutos.&gt;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Facilitação:</w:t>
      </w:r>
      <w:r>
        <w:t xml:space="preserve"> </w:t>
      </w:r>
      <w:r>
        <w:rPr>
          <w:i/>
          <w:iCs/>
        </w:rPr>
        <w:t xml:space="preserve">&lt;papel do facilitador.&gt;</w:t>
      </w:r>
    </w:p>
    <w:bookmarkStart w:id="27" w:name="estrutura-da-pauta-3"/>
    <w:p>
      <w:pPr>
        <w:pStyle w:val="Heading3"/>
      </w:pPr>
      <w:r>
        <w:t xml:space="preserve">Estrutura da Pauta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Check-in</w:t>
      </w:r>
      <w:r>
        <w:t xml:space="preserve"> </w:t>
      </w:r>
      <w:r>
        <w:rPr>
          <w:i/>
          <w:iCs/>
        </w:rPr>
        <w:t xml:space="preserve">&lt;duração&gt;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Destaques do período revisado</w:t>
      </w:r>
      <w:r>
        <w:t xml:space="preserve"> </w:t>
      </w:r>
      <w:r>
        <w:rPr>
          <w:i/>
          <w:iCs/>
        </w:rPr>
        <w:t xml:space="preserve">&lt;duração&gt;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O que funcionou bem</w:t>
      </w:r>
      <w:r>
        <w:t xml:space="preserve"> </w:t>
      </w:r>
      <w:r>
        <w:rPr>
          <w:i/>
          <w:iCs/>
        </w:rPr>
        <w:t xml:space="preserve">&lt;duração&gt;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O que não funcionou / o que faríamos diferente</w:t>
      </w:r>
      <w:r>
        <w:t xml:space="preserve"> </w:t>
      </w:r>
      <w:r>
        <w:rPr>
          <w:i/>
          <w:iCs/>
        </w:rPr>
        <w:t xml:space="preserve">&lt;duração; sem culpabilização, foco em padrões.&gt;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Aprendizados para levar adiante</w:t>
      </w:r>
      <w:r>
        <w:t xml:space="preserve"> </w:t>
      </w:r>
      <w:r>
        <w:rPr>
          <w:i/>
          <w:iCs/>
        </w:rPr>
        <w:t xml:space="preserve">&lt;duração; identifique entradas do Registro de Aprendizado.&gt;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Atualizações no registro de aprendizado e propostas futuras</w:t>
      </w:r>
      <w:r>
        <w:t xml:space="preserve"> </w:t>
      </w:r>
      <w:r>
        <w:rPr>
          <w:i/>
          <w:iCs/>
        </w:rPr>
        <w:t xml:space="preserve">&lt;duração.&gt;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Check-out</w:t>
      </w:r>
      <w:r>
        <w:t xml:space="preserve"> </w:t>
      </w:r>
      <w:r>
        <w:rPr>
          <w:i/>
          <w:iCs/>
        </w:rPr>
        <w:t xml:space="preserve">&lt;duração&gt;</w:t>
      </w:r>
    </w:p>
    <w:bookmarkEnd w:id="27"/>
    <w:bookmarkStart w:id="28" w:name="notas-e-registros-3"/>
    <w:p>
      <w:pPr>
        <w:pStyle w:val="Heading3"/>
      </w:pPr>
      <w:r>
        <w:t xml:space="preserve">Notas e Registros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Data: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Facilitador(a):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Presentes: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Notas: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Entradas geradas no Registro de Aprendizado:</w:t>
      </w:r>
      <w:r>
        <w:t xml:space="preserve"> </w:t>
      </w:r>
      <w:r>
        <w:rPr>
          <w:i/>
          <w:iCs/>
        </w:rPr>
        <w:t xml:space="preserve">&lt;lista ou</w:t>
      </w:r>
      <w:r>
        <w:rPr>
          <w:i/>
          <w:iCs/>
        </w:rPr>
        <w:t xml:space="preserve"> </w:t>
      </w:r>
      <w:r>
        <w:rPr>
          <w:i/>
          <w:iCs/>
        </w:rPr>
        <w:t xml:space="preserve">“nenhuma”</w:t>
      </w:r>
      <w:r>
        <w:rPr>
          <w:i/>
          <w:iCs/>
        </w:rPr>
        <w:t xml:space="preserve">&gt;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Propostas futuras adicionadas:</w:t>
      </w:r>
      <w:r>
        <w:t xml:space="preserve"> </w:t>
      </w:r>
      <w:r>
        <w:rPr>
          <w:i/>
          <w:iCs/>
        </w:rPr>
        <w:t xml:space="preserve">&lt;lista ou</w:t>
      </w:r>
      <w:r>
        <w:rPr>
          <w:i/>
          <w:iCs/>
        </w:rPr>
        <w:t xml:space="preserve"> </w:t>
      </w:r>
      <w:r>
        <w:rPr>
          <w:i/>
          <w:iCs/>
        </w:rPr>
        <w:t xml:space="preserve">“nenhuma”</w:t>
      </w:r>
      <w:r>
        <w:rPr>
          <w:i/>
          <w:iCs/>
        </w:rPr>
        <w:t xml:space="preserve">&gt;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3" w:name="tipo-de-reunião-tratamento-de-conflitos"/>
    <w:p>
      <w:pPr>
        <w:pStyle w:val="Heading2"/>
      </w:pPr>
      <w:r>
        <w:t xml:space="preserve">Tipo de Reunião: Tratamento de Conflitos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7.2.1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7.2.2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7.2.3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7.6.4</w:t>
        </w:r>
      </w:hyperlink>
      <w:r>
        <w:rPr>
          <w:i/>
          <w:iCs/>
        </w:rPr>
        <w:t xml:space="preserve">; ver também Camada 4 —</w:t>
      </w:r>
      <w:r>
        <w:rPr>
          <w:i/>
          <w:iCs/>
        </w:rPr>
        <w:t xml:space="preserve"> </w:t>
      </w:r>
      <w:hyperlink r:id="rId30">
        <w:r>
          <w:rPr>
            <w:rStyle w:val="Hyperlink"/>
            <w:i/>
            <w:iCs/>
          </w:rPr>
          <w:t xml:space="preserve">Escada de Resolução de Conflitos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um tipo de reunião distinto para conflito</w:t>
      </w:r>
      <w:r>
        <w:t xml:space="preserve"> </w:t>
      </w:r>
      <w:r>
        <w:t xml:space="preserve">&gt;</w:t>
      </w:r>
      <w:r>
        <w:t xml:space="preserve"> </w:t>
      </w:r>
      <w:r>
        <w:t xml:space="preserve">&gt; O trabalho com conflitos tem regras que outras reuniões não têm: confidencialidade, seleção do(a) Facilitador(a) que ignora a preferência das partes, proteções contra retaliação e registros restritos. Usar o modelo de Operações para uma sessão de conflito violaria silenciosamente todas elas. Um modelo dedicado torna o container diferente visível desde o primeiro minuto.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Use este modelo apenas para sessões facilitadas sob os Passos 2–4 da Escada de Resolução de Conflitos. As regras de privacidade e de seleção do(a) Facilitador(a) são regidas pela Camada 4, não pela própria reunião.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Propósito:</w:t>
      </w:r>
      <w:r>
        <w:t xml:space="preserve"> </w:t>
      </w:r>
      <w:r>
        <w:t xml:space="preserve">Facilitar a resolução em um passo definido da escada (Passos 2–4 da Escada de Resolução de Conflitos).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Escopo de decisão:</w:t>
      </w:r>
      <w:r>
        <w:t xml:space="preserve"> </w:t>
      </w:r>
      <w:r>
        <w:t xml:space="preserve">Produz planos de reparo, acordos ou decisões de escalonamento; resultados vinculantes exigem a autoridade definida na Escada de Resolução de Conflitos e na Matriz de Decisão.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Participantes obrigatórios:</w:t>
      </w:r>
      <w:r>
        <w:t xml:space="preserve"> </w:t>
      </w:r>
      <w:r>
        <w:t xml:space="preserve">Partes do conflito; Facilitador(a) designado(a) (conforme regras de seleção da Escada de Resolução de Conflitos).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Participantes opcionais:</w:t>
      </w:r>
      <w:r>
        <w:t xml:space="preserve"> </w:t>
      </w:r>
      <w:r>
        <w:t xml:space="preserve">Uma pessoa de apoio, mediante consentimento mútuo por escrito de todas as partes.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Cadência:</w:t>
      </w:r>
      <w:r>
        <w:t xml:space="preserve"> </w:t>
      </w:r>
      <w:r>
        <w:t xml:space="preserve">Conforme necessário; acionada por abertura de caso.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Limite de duração:</w:t>
      </w:r>
      <w:r>
        <w:t xml:space="preserve"> </w:t>
      </w:r>
      <w:r>
        <w:rPr>
          <w:i/>
          <w:iCs/>
        </w:rPr>
        <w:t xml:space="preserve">&lt;tipicamente 60–90 minutos; o(a) Facilitador(a) PODE estender.&gt;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Facilitação:</w:t>
      </w:r>
      <w:r>
        <w:t xml:space="preserve"> </w:t>
      </w:r>
      <w:r>
        <w:t xml:space="preserve">Selecionada conforme a Escada de Resolução de Conflitos (Camada 4) — não escolhida pelas próprias partes.</w:t>
      </w:r>
    </w:p>
    <w:p>
      <w:pPr>
        <w:pStyle w:val="FirstParagraph"/>
      </w:pPr>
      <w:r>
        <w:t xml:space="preserve">&gt;</w:t>
      </w:r>
      <w:r>
        <w:t xml:space="preserve"> </w:t>
      </w:r>
      <w:r>
        <w:rPr>
          <w:b/>
          <w:bCs/>
        </w:rPr>
        <w:t xml:space="preserve">Nota sobre privacidade:</w:t>
      </w:r>
      <w:r>
        <w:t xml:space="preserve"> </w:t>
      </w:r>
      <w:r>
        <w:t xml:space="preserve">Os registros deste tipo de reunião estão sujeitos aos limites de privacidade e acesso à informação definidos na Escada de Resolução de Conflitos (Camada 4). Por padrão, não são publicados no registro geral de membros.</w:t>
      </w:r>
    </w:p>
    <w:bookmarkStart w:id="31" w:name="estrutura-da-pauta-4"/>
    <w:p>
      <w:pPr>
        <w:pStyle w:val="Heading3"/>
      </w:pPr>
      <w:r>
        <w:t xml:space="preserve">Estrutura da Pauta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Abertura e regras de convivência</w:t>
      </w:r>
      <w:r>
        <w:t xml:space="preserve"> </w:t>
      </w:r>
      <w:r>
        <w:rPr>
          <w:i/>
          <w:iCs/>
        </w:rPr>
        <w:t xml:space="preserve">&lt;duração; consentimento, confidencialidade, não retaliação, direito de pausa.&gt;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Cada parte compartilha sua perspectiva</w:t>
      </w:r>
      <w:r>
        <w:t xml:space="preserve"> </w:t>
      </w:r>
      <w:r>
        <w:rPr>
          <w:i/>
          <w:iCs/>
        </w:rPr>
        <w:t xml:space="preserve">&lt;sem interrupções; tempo igual.&gt;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Checagem de entendimento compartilhado</w:t>
      </w:r>
      <w:r>
        <w:t xml:space="preserve"> </w:t>
      </w:r>
      <w:r>
        <w:rPr>
          <w:i/>
          <w:iCs/>
        </w:rPr>
        <w:t xml:space="preserve">&lt;duração.&gt;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Necessidades e pedidos</w:t>
      </w:r>
      <w:r>
        <w:t xml:space="preserve"> </w:t>
      </w:r>
      <w:r>
        <w:rPr>
          <w:i/>
          <w:iCs/>
        </w:rPr>
        <w:t xml:space="preserve">&lt;duração.&gt;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Opções de reparo ou acordo</w:t>
      </w:r>
      <w:r>
        <w:t xml:space="preserve"> </w:t>
      </w:r>
      <w:r>
        <w:rPr>
          <w:i/>
          <w:iCs/>
        </w:rPr>
        <w:t xml:space="preserve">&lt;duração.&gt;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Decisão ou próximo passo</w:t>
      </w:r>
      <w:r>
        <w:t xml:space="preserve"> </w:t>
      </w:r>
      <w:r>
        <w:rPr>
          <w:i/>
          <w:iCs/>
        </w:rPr>
        <w:t xml:space="preserve">&lt;duração.&gt;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Documentação</w:t>
      </w:r>
      <w:r>
        <w:t xml:space="preserve"> </w:t>
      </w:r>
      <w:r>
        <w:rPr>
          <w:i/>
          <w:iCs/>
        </w:rPr>
        <w:t xml:space="preserve">&lt;duração; registrar conforme regras de privacidade da Camada 4.&gt;</w:t>
      </w:r>
    </w:p>
    <w:bookmarkEnd w:id="31"/>
    <w:bookmarkStart w:id="32" w:name="formato-do-registro"/>
    <w:p>
      <w:pPr>
        <w:pStyle w:val="Heading3"/>
      </w:pPr>
      <w:r>
        <w:t xml:space="preserve">Formato do Registro</w:t>
      </w:r>
    </w:p>
    <w:p>
      <w:pPr>
        <w:pStyle w:val="FirstParagraph"/>
      </w:pPr>
      <w:r>
        <w:t xml:space="preserve">&gt; Este registro é confidencial. O acesso é restrito conforme a Escada de Resolução de Conflitos (Camada 4).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Data: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Facilitador(a):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Partes presentes: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Passo da escada: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Classe do conflito: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Resultado:</w:t>
      </w:r>
      <w:r>
        <w:t xml:space="preserve"> </w:t>
      </w:r>
      <w:r>
        <w:rPr>
          <w:i/>
          <w:iCs/>
        </w:rPr>
        <w:t xml:space="preserve">&lt;Acordo alcançado / Escalado para o próximo passo / Suspenso&gt;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Ações acordadas (se houver):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Destino do escalonamento (se aplicável):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Acesso:</w:t>
      </w:r>
      <w:r>
        <w:t xml:space="preserve"> </w:t>
      </w:r>
      <w:r>
        <w:t xml:space="preserve">Apenas partes e Facilitador(a); divulgado a Membros Plenos somente se escalado ao passo de governança.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4" w:name="registro-de-ratificação"/>
    <w:p>
      <w:pPr>
        <w:pStyle w:val="Heading2"/>
      </w:pPr>
      <w:r>
        <w:t xml:space="preserve">Registro de Ratificação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Adotado em:</w:t>
      </w:r>
      <w:r>
        <w:t xml:space="preserve"> </w:t>
      </w:r>
      <w:r>
        <w:t xml:space="preserve">&lt;AAAA-MM-DD&gt;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Tipo de decisão:</w:t>
      </w:r>
      <w:r>
        <w:t xml:space="preserve"> </w:t>
      </w:r>
      <w:r>
        <w:t xml:space="preserve">Estratégica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Versão:</w:t>
      </w:r>
      <w:r>
        <w:t xml:space="preserve"> </w:t>
      </w:r>
      <w:r>
        <w:t xml:space="preserve">&lt;versão&gt;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Registro de decisão:</w:t>
      </w:r>
      <w:r>
        <w:t xml:space="preserve"> </w:t>
      </w:r>
      <w:r>
        <w:t xml:space="preserve">&lt;link para o registro de decisão&gt;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1"/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1"/>
  </w:num>
  <w:num w:numId="1017">
    <w:abstractNumId w:val="991"/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30" Target="https://rcos.ecohubs.community/pt-br/articles/rcos-core/v0-1/layer-4-conflict-repair-accountability#62-resolution-pathways" TargetMode="External" /><Relationship Type="http://schemas.openxmlformats.org/officeDocument/2006/relationships/hyperlink" Id="rId14" Target="https://rcos.ecohubs.community/pt-br/articles/rcos-core/v0-1/layer-5-operations-coordination#72-meeting-system" TargetMode="External" /><Relationship Type="http://schemas.openxmlformats.org/officeDocument/2006/relationships/hyperlink" Id="rId15" Target="https://rcos.ecohubs.community/pt-br/articles/rcos-core/v0-1/layer-5-operations-coordination#76-artifacts" TargetMode="External" /><Relationship Type="http://schemas.openxmlformats.org/officeDocument/2006/relationships/hyperlink" Id="rId13" Target="https://rcos.ecohubs.community/pt-br/articles/rcos-templates" TargetMode="External" /><Relationship Type="http://schemas.openxmlformats.org/officeDocument/2006/relationships/hyperlink" Id="rId12" Target="https://rcos.ecohubs.community/pt-br/articles/rcos-templates/layer-5/meeting-templa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s://rcos.ecohubs.community/pt-br/articles/rcos-core/v0-1/layer-4-conflict-repair-accountability#62-resolution-pathways" TargetMode="External" /><Relationship Type="http://schemas.openxmlformats.org/officeDocument/2006/relationships/hyperlink" Id="rId14" Target="https://rcos.ecohubs.community/pt-br/articles/rcos-core/v0-1/layer-5-operations-coordination#72-meeting-system" TargetMode="External" /><Relationship Type="http://schemas.openxmlformats.org/officeDocument/2006/relationships/hyperlink" Id="rId15" Target="https://rcos.ecohubs.community/pt-br/articles/rcos-core/v0-1/layer-5-operations-coordination#76-artifacts" TargetMode="External" /><Relationship Type="http://schemas.openxmlformats.org/officeDocument/2006/relationships/hyperlink" Id="rId13" Target="https://rcos.ecohubs.community/pt-br/articles/rcos-templates" TargetMode="External" /><Relationship Type="http://schemas.openxmlformats.org/officeDocument/2006/relationships/hyperlink" Id="rId12" Target="https://rcos.ecohubs.community/pt-br/articles/rcos-templates/layer-5/meeting-templa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2026-07-07T15:16:01Z</dcterms:created>
  <dcterms:modified xsi:type="dcterms:W3CDTF">2026-07-07T15:16:01Z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-meta">
    <vt:lpwstr>Modelos de Reunião</vt:lpwstr>
  </property>
</Properties>
</file>