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609600" cy="609600"/>
            <wp:effectExtent b="0" l="0" r="0" t="0"/>
            <wp:docPr descr="RCOS" title="" id="10" name="Picture"/>
            <a:graphic>
              <a:graphicData uri="http://schemas.openxmlformats.org/drawingml/2006/picture">
                <pic:pic>
                  <pic:nvPicPr>
                    <pic:cNvPr descr="/Users/el_stefano/Documents/Development/svelte/regenerative-community-blueprint/scripts/logo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b/>
          <w:bCs/>
        </w:rPr>
        <w:t xml:space="preserve">RCOS — Sistema Operacional de Comunidade Regenerativa</w:t>
      </w:r>
    </w:p>
    <w:bookmarkStart w:id="25" w:name="escada-de-resolução-de-conflitos"/>
    <w:p>
      <w:pPr>
        <w:pStyle w:val="Heading1"/>
      </w:pPr>
      <w:r>
        <w:t xml:space="preserve">Escada de Resolução de Conflitos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Gerado em:</w:t>
      </w:r>
      <w:r>
        <w:t xml:space="preserve"> </w:t>
      </w:r>
      <w:r>
        <w:t xml:space="preserve">2026-07-07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Fonte (versão mais recente):</w:t>
      </w:r>
      <w:r>
        <w:t xml:space="preserve"> </w:t>
      </w:r>
      <w:hyperlink r:id="rId12">
        <w:r>
          <w:rPr>
            <w:rStyle w:val="Hyperlink"/>
          </w:rPr>
          <w:t xml:space="preserve">https://rcos.ecohubs.community/pt-br/articles/rcos-templates/layer-4/conflict-resolution-ladder</w:t>
        </w:r>
      </w:hyperlink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Todos os modelos RCOS:</w:t>
      </w:r>
      <w:r>
        <w:t xml:space="preserve"> </w:t>
      </w:r>
      <w:hyperlink r:id="rId13">
        <w:r>
          <w:rPr>
            <w:rStyle w:val="Hyperlink"/>
          </w:rPr>
          <w:t xml:space="preserve">https://rcos.ecohubs.community/pt-br/articles/rcos-templates</w:t>
        </w:r>
      </w:hyperlink>
    </w:p>
    <w:p>
      <w:r>
        <w:pict>
          <v:rect style="width:0;height:1.5pt" o:hralign="center" o:hrstd="t" o:hr="t"/>
        </w:pic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Camada:</w:t>
      </w:r>
      <w:r>
        <w:t xml:space="preserve"> </w:t>
      </w:r>
      <w:r>
        <w:t xml:space="preserve">4 — Conflito, Reparação e Responsabilização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Status:</w:t>
      </w:r>
      <w:r>
        <w:t xml:space="preserve"> </w:t>
      </w:r>
      <w:r>
        <w:t xml:space="preserve">Modelo — adapte para sua comunidade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Referência RCOS:</w:t>
      </w:r>
      <w:r>
        <w:t xml:space="preserve"> </w:t>
      </w:r>
      <w:hyperlink r:id="rId14">
        <w:r>
          <w:rPr>
            <w:rStyle w:val="Hyperlink"/>
          </w:rPr>
          <w:t xml:space="preserve">§6.1</w:t>
        </w:r>
      </w:hyperlink>
      <w:r>
        <w:t xml:space="preserve">,</w:t>
      </w:r>
      <w:r>
        <w:t xml:space="preserve"> </w:t>
      </w:r>
      <w:hyperlink r:id="rId15">
        <w:r>
          <w:rPr>
            <w:rStyle w:val="Hyperlink"/>
          </w:rPr>
          <w:t xml:space="preserve">§6.2</w:t>
        </w:r>
      </w:hyperlink>
      <w:r>
        <w:t xml:space="preserve">,</w:t>
      </w:r>
      <w:r>
        <w:t xml:space="preserve"> </w:t>
      </w:r>
      <w:hyperlink r:id="rId16">
        <w:r>
          <w:rPr>
            <w:rStyle w:val="Hyperlink"/>
          </w:rPr>
          <w:t xml:space="preserve">§6.3</w:t>
        </w:r>
      </w:hyperlink>
      <w:r>
        <w:t xml:space="preserve">,</w:t>
      </w:r>
      <w:r>
        <w:t xml:space="preserve"> </w:t>
      </w:r>
      <w:hyperlink r:id="rId17">
        <w:r>
          <w:rPr>
            <w:rStyle w:val="Hyperlink"/>
          </w:rPr>
          <w:t xml:space="preserve">§6.5</w:t>
        </w:r>
      </w:hyperlink>
    </w:p>
    <w:p>
      <w:r>
        <w:pict>
          <v:rect style="width:0;height:1.5pt" o:hralign="center" o:hrstd="t" o:hr="t"/>
        </w:pict>
      </w:r>
    </w:p>
    <w:bookmarkStart w:id="18" w:name="classificação-de-conflitos"/>
    <w:p>
      <w:pPr>
        <w:pStyle w:val="Heading2"/>
      </w:pPr>
      <w:r>
        <w:t xml:space="preserve">Classificação de Conflitos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6.1.1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6.1.2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6.1.3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6.1.4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6.1.5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7">
        <w:r>
          <w:rPr>
            <w:rStyle w:val="Hyperlink"/>
            <w:i/>
            <w:iCs/>
          </w:rPr>
          <w:t xml:space="preserve">6.5.3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classificar conflitos</w:t>
      </w:r>
      <w:r>
        <w:t xml:space="preserve"> </w:t>
      </w:r>
      <w:r>
        <w:t xml:space="preserve">&gt;</w:t>
      </w:r>
      <w:r>
        <w:t xml:space="preserve"> </w:t>
      </w:r>
      <w:r>
        <w:t xml:space="preserve">&gt; Sem classes nomeadas, toda disputa acaba tratada da mesma forma — ou, pior, tratada de forma diferente dependendo de quem está envolvido. Classes explícitas definem o ponto de entrada, o prazo de resposta e o ônus de documentação desde o início, de modo que questões críticas de segurança não possam ser silenciosamente encaminhadas por meio de uma conversa amigável e atritos menores não possam ser instrumentalizados em uma revisão formal.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Para cada classe, defina os critérios de entrada, o passo inicial na escada, o prazo de resposta inicial e o ônus de documentação.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Classe</w:t>
            </w:r>
          </w:p>
        </w:tc>
        <w:tc>
          <w:tcPr/>
          <w:p>
            <w:pPr>
              <w:pStyle w:val="Compact"/>
            </w:pPr>
            <w:r>
              <w:t xml:space="preserve">Critérios de entrada</w:t>
            </w:r>
          </w:p>
        </w:tc>
        <w:tc>
          <w:tcPr/>
          <w:p>
            <w:pPr>
              <w:pStyle w:val="Compact"/>
            </w:pPr>
            <w:r>
              <w:t xml:space="preserve">Ponto de entrada</w:t>
            </w:r>
          </w:p>
        </w:tc>
        <w:tc>
          <w:tcPr/>
          <w:p>
            <w:pPr>
              <w:pStyle w:val="Compact"/>
            </w:pPr>
            <w:r>
              <w:t xml:space="preserve">Prazo de resposta inicial</w:t>
            </w:r>
          </w:p>
        </w:tc>
        <w:tc>
          <w:tcPr/>
          <w:p>
            <w:pPr>
              <w:pStyle w:val="Compact"/>
            </w:pPr>
            <w:r>
              <w:t xml:space="preserve">Documentação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&lt;Interpessoal&gt;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&lt;atrito entre membros&gt;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&lt;Passo 1&gt;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&lt;prazo&gt;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&lt;a partir de qual passo&gt;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&lt;Baseado em papéis&gt;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&lt;disputa sobre desempenho de papel&gt;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&lt;Estrutural&gt;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&lt;disputa sobre processo de governança&gt;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&lt;Ética / violação de obrigação&gt;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&lt;…&gt;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&lt;Crítico de segurança&gt;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&lt;risco de segurança crível, coerção, abuso ou ameaças&gt;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&lt;contorna passos anteriores&gt;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&lt;prazo curto&gt;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&lt;desde a abertura; ação imediata permitida&gt;</w:t>
            </w:r>
          </w:p>
        </w:tc>
      </w:tr>
    </w:tbl>
    <w:p>
      <w:pPr>
        <w:pStyle w:val="BodyText"/>
      </w:pPr>
      <w:r>
        <w:t xml:space="preserve">&gt; Conflitos críticos de segurança prevalecem sobre direitos de participação, continuidade de papéis e conveniência operacional.</w:t>
      </w:r>
    </w:p>
    <w:bookmarkEnd w:id="18"/>
    <w:bookmarkStart w:id="19" w:name="passos-da-escada-de-resolução"/>
    <w:p>
      <w:pPr>
        <w:pStyle w:val="Heading2"/>
      </w:pPr>
      <w:r>
        <w:t xml:space="preserve">Passos da Escada de Resolução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6.2.1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6.2.2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6.2.3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6.2.4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6.2.5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7">
        <w:r>
          <w:rPr>
            <w:rStyle w:val="Hyperlink"/>
            <w:i/>
            <w:iCs/>
          </w:rPr>
          <w:t xml:space="preserve">6.5.3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uma escada em etapas em vez de um único processo</w:t>
      </w:r>
      <w:r>
        <w:t xml:space="preserve"> </w:t>
      </w:r>
      <w:r>
        <w:t xml:space="preserve">&gt;</w:t>
      </w:r>
      <w:r>
        <w:t xml:space="preserve"> </w:t>
      </w:r>
      <w:r>
        <w:t xml:space="preserve">&gt; A maior parte dos conflitos é de baixo impacto e é melhor resolvida entre as pessoas envolvidas; forçar tudo para uma revisão formal destruiria a confiança e sobrecarregaria o sistema de governança. Uma escada ajusta o peso do processo ao peso da disputa — conversa privada primeiro, diálogo facilitado em seguida, registro escrito apenas quando necessário, votação de governança somente quando tudo mais falhar. Isso também torna a escalada um direito estrutural, e não um favor concedido por quem detém poder social.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Defina cada passo da escada: quem está envolvido, o que acontece, o prazo e a regra de escalada. Mantenha os primeiros passos leves e confidenciais; reserve a revisão formal para passos posteriores.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Conversa direta</w:t>
      </w:r>
      <w:r>
        <w:t xml:space="preserve"> </w:t>
      </w:r>
      <w:r>
        <w:t xml:space="preserve">—</w:t>
      </w:r>
      <w:r>
        <w:t xml:space="preserve"> </w:t>
      </w:r>
      <w:r>
        <w:rPr>
          <w:i/>
          <w:iCs/>
        </w:rPr>
        <w:t xml:space="preserve">&lt;as partes tentam resolver em privado; prazo; regras de resultado.&gt;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Diálogo facilitado</w:t>
      </w:r>
      <w:r>
        <w:t xml:space="preserve"> </w:t>
      </w:r>
      <w:r>
        <w:t xml:space="preserve">—</w:t>
      </w:r>
      <w:r>
        <w:t xml:space="preserve"> </w:t>
      </w:r>
      <w:r>
        <w:rPr>
          <w:i/>
          <w:iCs/>
        </w:rPr>
        <w:t xml:space="preserve">&lt;facilitador conduz a conversa; confidencialidade; prazo; regras de resultado.&gt;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Abertura de responsabilização</w:t>
      </w:r>
      <w:r>
        <w:t xml:space="preserve"> </w:t>
      </w:r>
      <w:r>
        <w:t xml:space="preserve">—</w:t>
      </w:r>
      <w:r>
        <w:t xml:space="preserve"> </w:t>
      </w:r>
      <w:r>
        <w:rPr>
          <w:i/>
          <w:iCs/>
        </w:rPr>
        <w:t xml:space="preserve">&lt;registro formal escrito aberto; submissões; prazo; regras de resultado.&gt;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Revisão de responsabilização</w:t>
      </w:r>
      <w:r>
        <w:t xml:space="preserve"> </w:t>
      </w:r>
      <w:r>
        <w:t xml:space="preserve">—</w:t>
      </w:r>
      <w:r>
        <w:t xml:space="preserve"> </w:t>
      </w:r>
      <w:r>
        <w:rPr>
          <w:i/>
          <w:iCs/>
        </w:rPr>
        <w:t xml:space="preserve">&lt;revisão estruturada; ambas as partes presentes; recomendação escrita; prazo; regras de resultado.&gt;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Decisão de governança</w:t>
      </w:r>
      <w:r>
        <w:t xml:space="preserve"> </w:t>
      </w:r>
      <w:r>
        <w:t xml:space="preserve">—</w:t>
      </w:r>
      <w:r>
        <w:t xml:space="preserve"> </w:t>
      </w:r>
      <w:r>
        <w:rPr>
          <w:i/>
          <w:iCs/>
        </w:rPr>
        <w:t xml:space="preserve">&lt;divulgação mínima necessária aos Membros Plenos; período de deliberação; mecanismo de votação e limiar.&gt;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Processo de separação</w:t>
      </w:r>
      <w:r>
        <w:t xml:space="preserve"> </w:t>
      </w:r>
      <w:r>
        <w:t xml:space="preserve">—</w:t>
      </w:r>
      <w:r>
        <w:t xml:space="preserve"> </w:t>
      </w:r>
      <w:r>
        <w:rPr>
          <w:i/>
          <w:iCs/>
        </w:rPr>
        <w:t xml:space="preserve">&lt;coordenado com o Protocolo de Saída e Separação; bloqueio mínimo para reaplicação.&gt;</w:t>
      </w:r>
    </w:p>
    <w:bookmarkEnd w:id="19"/>
    <w:bookmarkStart w:id="20" w:name="não-resposta-retirada-e-impasse"/>
    <w:p>
      <w:pPr>
        <w:pStyle w:val="Heading2"/>
      </w:pPr>
      <w:r>
        <w:t xml:space="preserve">Não-Resposta, Retirada e Impasse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5">
        <w:r>
          <w:rPr>
            <w:rStyle w:val="Hyperlink"/>
            <w:i/>
            <w:iCs/>
          </w:rPr>
          <w:t xml:space="preserve">6.2.5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4">
        <w:r>
          <w:rPr>
            <w:rStyle w:val="Hyperlink"/>
            <w:i/>
            <w:iCs/>
          </w:rPr>
          <w:t xml:space="preserve">6.1.5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O que impede que um processo seja morto pelo silêncio</w:t>
      </w:r>
      <w:r>
        <w:t xml:space="preserve"> </w:t>
      </w:r>
      <w:r>
        <w:t xml:space="preserve">&gt;</w:t>
      </w:r>
      <w:r>
        <w:t xml:space="preserve"> </w:t>
      </w:r>
      <w:r>
        <w:t xml:space="preserve">&gt; A maneira mais fácil de derrotar qualquer processo de responsabilização é ignorá-lo. Se a não-resposta, a retirada ou o impasse deixam o assunto congelado, é a parte que sofre o dano que arca com o custo da inação. Regras explícitas para cada modo de falha convertem o silêncio em um gatilho documentado de escalada, em vez de um veto.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Defina como a não-resposta, a retirada no meio do processo, o impasse e a falha procedimental são tratados. Cada um deve ter um caminho de escalada documentado.</w:t>
      </w:r>
    </w:p>
    <w:p>
      <w:pPr>
        <w:pStyle w:val="BodyText"/>
      </w:pPr>
      <w:r>
        <w:rPr>
          <w:b/>
          <w:bCs/>
        </w:rPr>
        <w:t xml:space="preserve">Se uma parte não responder dentro do prazo definido:</w:t>
      </w:r>
    </w:p>
    <w:p>
      <w:pPr>
        <w:pStyle w:val="Compact"/>
        <w:numPr>
          <w:ilvl w:val="0"/>
          <w:numId w:val="1004"/>
        </w:numPr>
      </w:pPr>
      <w:r>
        <w:rPr>
          <w:i/>
          <w:iCs/>
        </w:rPr>
        <w:t xml:space="preserve">&lt;Aviso de acompanhamento; período de tolerância adicional; tratamento do silêncio continuado como não-resolução; regra de escalada.&gt;</w:t>
      </w:r>
    </w:p>
    <w:p>
      <w:pPr>
        <w:pStyle w:val="FirstParagraph"/>
      </w:pPr>
      <w:r>
        <w:rPr>
          <w:b/>
          <w:bCs/>
        </w:rPr>
        <w:t xml:space="preserve">Se uma parte se retirar no meio do processo:</w:t>
      </w:r>
    </w:p>
    <w:p>
      <w:pPr>
        <w:pStyle w:val="Compact"/>
        <w:numPr>
          <w:ilvl w:val="0"/>
          <w:numId w:val="1005"/>
        </w:numPr>
      </w:pPr>
      <w:r>
        <w:rPr>
          <w:i/>
          <w:iCs/>
        </w:rPr>
        <w:t xml:space="preserve">&lt;Notificação da retirada; opção para a outra parte encerrar ou solicitar um resumo escrito; regra de escalada para questões de responsabilização pendentes.&gt;</w:t>
      </w:r>
    </w:p>
    <w:p>
      <w:pPr>
        <w:pStyle w:val="FirstParagraph"/>
      </w:pPr>
      <w:r>
        <w:rPr>
          <w:b/>
          <w:bCs/>
        </w:rPr>
        <w:t xml:space="preserve">Impasse (todas as tentativas de resolução esgotadas):</w:t>
      </w:r>
    </w:p>
    <w:p>
      <w:pPr>
        <w:pStyle w:val="Compact"/>
        <w:numPr>
          <w:ilvl w:val="0"/>
          <w:numId w:val="1006"/>
        </w:numPr>
      </w:pPr>
      <w:r>
        <w:rPr>
          <w:i/>
          <w:iCs/>
        </w:rPr>
        <w:t xml:space="preserve">&lt;Documentação do impasse; escalada para decisão de governança.&gt;</w:t>
      </w:r>
    </w:p>
    <w:p>
      <w:pPr>
        <w:pStyle w:val="FirstParagraph"/>
      </w:pPr>
      <w:r>
        <w:rPr>
          <w:b/>
          <w:bCs/>
        </w:rPr>
        <w:t xml:space="preserve">Revisão de falha procedimental:</w:t>
      </w:r>
    </w:p>
    <w:p>
      <w:pPr>
        <w:pStyle w:val="Compact"/>
        <w:numPr>
          <w:ilvl w:val="0"/>
          <w:numId w:val="1007"/>
        </w:numPr>
      </w:pPr>
      <w:r>
        <w:rPr>
          <w:i/>
          <w:iCs/>
        </w:rPr>
        <w:t xml:space="preserve">&lt;Como objeções procedimentais são levantadas; onde são registradas; gatilho para revisão deste artefato sob o Protocolo de Mudança.&gt;</w:t>
      </w:r>
    </w:p>
    <w:p>
      <w:r>
        <w:pict>
          <v:rect style="width:0;height:1.5pt" o:hralign="center" o:hrstd="t" o:hr="t"/>
        </w:pict>
      </w:r>
    </w:p>
    <w:bookmarkEnd w:id="20"/>
    <w:bookmarkStart w:id="21" w:name="seleção-e-substituição-de-facilitador"/>
    <w:p>
      <w:pPr>
        <w:pStyle w:val="Heading2"/>
      </w:pPr>
      <w:r>
        <w:t xml:space="preserve">Seleção e Substituição de Facilitador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6.3.1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6.3.3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definir como o Facilitador é escolhido ou substituído</w:t>
      </w:r>
      <w:r>
        <w:t xml:space="preserve"> </w:t>
      </w:r>
      <w:r>
        <w:t xml:space="preserve">&gt;</w:t>
      </w:r>
      <w:r>
        <w:t xml:space="preserve"> </w:t>
      </w:r>
      <w:r>
        <w:t xml:space="preserve">&gt; Um facilitador implicado no conflito — ou socialmente alinhado a uma das partes — não consegue conduzir o processo de forma justa, por melhores que sejam suas intenções. Definir regras de seleção e substituição com antecedência significa que a parte afetada não precisa lutar por uma escuta neutra enquanto já está sob estresse.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Indique o papel padrão do facilitador, a regra quando o facilitador é uma das partes, o direito de recusa e qualquer previsão de facilitação externa.</w:t>
      </w:r>
    </w:p>
    <w:p>
      <w:pPr>
        <w:pStyle w:val="Compact"/>
        <w:numPr>
          <w:ilvl w:val="0"/>
          <w:numId w:val="1008"/>
        </w:numPr>
      </w:pPr>
      <w:r>
        <w:rPr>
          <w:i/>
          <w:iCs/>
        </w:rPr>
        <w:t xml:space="preserve">&lt;Papel padrão do facilitador conforme o Registro de Papéis.&gt;</w:t>
      </w:r>
    </w:p>
    <w:p>
      <w:pPr>
        <w:pStyle w:val="Compact"/>
        <w:numPr>
          <w:ilvl w:val="0"/>
          <w:numId w:val="1008"/>
        </w:numPr>
      </w:pPr>
      <w:r>
        <w:rPr>
          <w:i/>
          <w:iCs/>
        </w:rPr>
        <w:t xml:space="preserve">&lt;Regra quando o facilitador é uma das partes — seleção de um substituto neutro.&gt;</w:t>
      </w:r>
    </w:p>
    <w:p>
      <w:pPr>
        <w:pStyle w:val="Compact"/>
        <w:numPr>
          <w:ilvl w:val="0"/>
          <w:numId w:val="1008"/>
        </w:numPr>
      </w:pPr>
      <w:r>
        <w:rPr>
          <w:i/>
          <w:iCs/>
        </w:rPr>
        <w:t xml:space="preserve">&lt;Direito de qualquer das partes de recusar um facilitador com conflito de interesse declarado.&gt;</w:t>
      </w:r>
    </w:p>
    <w:p>
      <w:pPr>
        <w:pStyle w:val="Compact"/>
        <w:numPr>
          <w:ilvl w:val="0"/>
          <w:numId w:val="1008"/>
        </w:numPr>
      </w:pPr>
      <w:r>
        <w:rPr>
          <w:i/>
          <w:iCs/>
        </w:rPr>
        <w:t xml:space="preserve">&lt;Facilitação externa opcional mediante acordo mútuo.&gt;</w:t>
      </w:r>
    </w:p>
    <w:bookmarkEnd w:id="21"/>
    <w:bookmarkStart w:id="22" w:name="X0bfdf34d5e68d6b335d2fb0fda75ac5d82d8d1b"/>
    <w:p>
      <w:pPr>
        <w:pStyle w:val="Heading2"/>
      </w:pPr>
      <w:r>
        <w:t xml:space="preserve">Limites de Privacidade e Acesso à Informação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7">
        <w:r>
          <w:rPr>
            <w:rStyle w:val="Hyperlink"/>
            <w:i/>
            <w:iCs/>
          </w:rPr>
          <w:t xml:space="preserve">6.5.3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delimitar o fluxo de informação de forma tão estrita</w:t>
      </w:r>
      <w:r>
        <w:t xml:space="preserve"> </w:t>
      </w:r>
      <w:r>
        <w:t xml:space="preserve">&gt;</w:t>
      </w:r>
      <w:r>
        <w:t xml:space="preserve"> </w:t>
      </w:r>
      <w:r>
        <w:t xml:space="preserve">&gt; Os registros de conflito contêm o material mais sensível que a comunidade guarda. Vazamentos, fofocas ou divulgações casuais causam danos de segunda ordem e desencorajam relatos futuros. Limites explícitos — o que permanece com as partes, o que chega aos Membros Plenos e quando os registros são destruídos — tornam a confidencialidade exigível, e não meramente aspiracional.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Indique quais passos são totalmente confidenciais, qual a informação mínima que pode ser divulgada na etapa de governança, o período de retenção e a obrigação de não divulgação.</w:t>
      </w:r>
    </w:p>
    <w:p>
      <w:pPr>
        <w:pStyle w:val="Compact"/>
        <w:numPr>
          <w:ilvl w:val="0"/>
          <w:numId w:val="1009"/>
        </w:numPr>
      </w:pPr>
      <w:r>
        <w:rPr>
          <w:i/>
          <w:iCs/>
        </w:rPr>
        <w:t xml:space="preserve">&lt;Passos 1–4: totalmente confidenciais; apenas as partes e o Facilitador podem acessar os registros.&gt;</w:t>
      </w:r>
    </w:p>
    <w:p>
      <w:pPr>
        <w:pStyle w:val="Compact"/>
        <w:numPr>
          <w:ilvl w:val="0"/>
          <w:numId w:val="1009"/>
        </w:numPr>
      </w:pPr>
      <w:r>
        <w:rPr>
          <w:i/>
          <w:iCs/>
        </w:rPr>
        <w:t xml:space="preserve">&lt;Passos 5–6: informação mínima necessária divulgada aos Membros Plenos; partes notificadas antes da divulgação. Defina o que significa</w:t>
      </w:r>
      <w:r>
        <w:rPr>
          <w:i/>
          <w:iCs/>
        </w:rPr>
        <w:t xml:space="preserve"> </w:t>
      </w:r>
      <w:r>
        <w:rPr>
          <w:i/>
          <w:iCs/>
        </w:rPr>
        <w:t xml:space="preserve">“mínima necessária”</w:t>
      </w:r>
      <w:r>
        <w:rPr>
          <w:i/>
          <w:iCs/>
        </w:rPr>
        <w:t xml:space="preserve">.&gt;</w:t>
      </w:r>
    </w:p>
    <w:p>
      <w:pPr>
        <w:pStyle w:val="Compact"/>
        <w:numPr>
          <w:ilvl w:val="0"/>
          <w:numId w:val="1009"/>
        </w:numPr>
      </w:pPr>
      <w:r>
        <w:rPr>
          <w:i/>
          <w:iCs/>
        </w:rPr>
        <w:t xml:space="preserve">&lt;Retenção de registros: quem guarda os registros, por quanto tempo, e quando são destruídos.&gt;</w:t>
      </w:r>
    </w:p>
    <w:p>
      <w:pPr>
        <w:pStyle w:val="Compact"/>
        <w:numPr>
          <w:ilvl w:val="0"/>
          <w:numId w:val="1009"/>
        </w:numPr>
      </w:pPr>
      <w:r>
        <w:rPr>
          <w:i/>
          <w:iCs/>
        </w:rPr>
        <w:t xml:space="preserve">&lt;Não divulgação: nenhum participante pode compartilhar informações sobre o processo fora dos participantes definidos sem o consentimento escrito de todas as partes.&gt;</w:t>
      </w:r>
    </w:p>
    <w:bookmarkEnd w:id="22"/>
    <w:bookmarkStart w:id="23" w:name="salvaguardas"/>
    <w:p>
      <w:pPr>
        <w:pStyle w:val="Heading2"/>
      </w:pPr>
      <w:r>
        <w:t xml:space="preserve">Salvaguardas</w:t>
      </w:r>
    </w:p>
    <w:p>
      <w:pPr>
        <w:pStyle w:val="FirstParagraph"/>
      </w:pPr>
      <w:r>
        <w:rPr>
          <w:i/>
          <w:iCs/>
        </w:rPr>
        <w:t xml:space="preserve">Cláusulas RCOS: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6.3.1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6.3.2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6.3.3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6.3.4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16">
        <w:r>
          <w:rPr>
            <w:rStyle w:val="Hyperlink"/>
            <w:i/>
            <w:iCs/>
          </w:rPr>
          <w:t xml:space="preserve">6.3.5</w:t>
        </w:r>
      </w:hyperlink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Justificativa — Por que existem salvaguardas além da escada</w:t>
      </w:r>
      <w:r>
        <w:t xml:space="preserve"> </w:t>
      </w:r>
      <w:r>
        <w:t xml:space="preserve">&gt;</w:t>
      </w:r>
      <w:r>
        <w:t xml:space="preserve"> </w:t>
      </w:r>
      <w:r>
        <w:t xml:space="preserve">&gt; Processo, por si só, não protege a parte com menos poder. Retaliação, denúncias de má-fé, facilitadores em conflito de interesse e riscos de segurança não revisados podem neutralizar até mesmo um bom procedimento. As salvaguardas são as redes de proteção que mantêm a escada funcional quando os incentivos atuam contra o relato honesto.</w:t>
      </w:r>
    </w:p>
    <w:p>
      <w:pPr>
        <w:pStyle w:val="BodyText"/>
      </w:pPr>
      <w:r>
        <w:t xml:space="preserve">&gt;</w:t>
      </w:r>
      <w:r>
        <w:t xml:space="preserve"> </w:t>
      </w:r>
      <w:r>
        <w:rPr>
          <w:b/>
          <w:bCs/>
        </w:rPr>
        <w:t xml:space="preserve">Instruções — Como preencher</w:t>
      </w:r>
      <w:r>
        <w:t xml:space="preserve"> </w:t>
      </w:r>
      <w:r>
        <w:t xml:space="preserve">&gt;</w:t>
      </w:r>
      <w:r>
        <w:t xml:space="preserve"> </w:t>
      </w:r>
      <w:r>
        <w:t xml:space="preserve">&gt; Para cada salvaguarda, indique a regra e a consequência quando ela é violada. Casos com diferencial de poder precisam de seu próprio canal de abertura.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Antirretaliação:</w:t>
      </w:r>
      <w:r>
        <w:t xml:space="preserve"> </w:t>
      </w:r>
      <w:r>
        <w:rPr>
          <w:i/>
          <w:iCs/>
        </w:rPr>
        <w:t xml:space="preserve">&lt;retaliação contra um membro que levanta um conflito de boa-fé é, em si, motivo para um processo de responsabilização.&gt;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Denúncias de má-fé:</w:t>
      </w:r>
      <w:r>
        <w:t xml:space="preserve"> </w:t>
      </w:r>
      <w:r>
        <w:rPr>
          <w:i/>
          <w:iCs/>
        </w:rPr>
        <w:t xml:space="preserve">&lt;denúncias deliberadamente falsas podem desencadear um processo de responsabilização contra o denunciante.&gt;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Conflito de interesse do facilitador:</w:t>
      </w:r>
      <w:r>
        <w:t xml:space="preserve"> </w:t>
      </w:r>
      <w:r>
        <w:rPr>
          <w:i/>
          <w:iCs/>
        </w:rPr>
        <w:t xml:space="preserve">&lt;ver Seleção e Substituição de Facilitador.&gt;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Pausa do processo:</w:t>
      </w:r>
      <w:r>
        <w:t xml:space="preserve"> </w:t>
      </w:r>
      <w:r>
        <w:rPr>
          <w:i/>
          <w:iCs/>
        </w:rPr>
        <w:t xml:space="preserve">&lt;qualquer das partes pode pausar uma vez por até X dias mediante aviso escrito.&gt;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Ação imediata em caso crítico de segurança:</w:t>
      </w:r>
      <w:r>
        <w:t xml:space="preserve"> </w:t>
      </w:r>
      <w:r>
        <w:rPr>
          <w:i/>
          <w:iCs/>
        </w:rPr>
        <w:t xml:space="preserve">&lt;o facilitador pode recomendar uma restrição temporária de acesso aguardando revisão; prazo de revisão.&gt;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Diferencial de poder — canal de abertura separado:</w:t>
      </w:r>
      <w:r>
        <w:t xml:space="preserve"> </w:t>
      </w:r>
      <w:r>
        <w:rPr>
          <w:i/>
          <w:iCs/>
        </w:rPr>
        <w:t xml:space="preserve">&lt;quando há um diferencial de poder, o membro afetado pode submeter a abertura diretamente a um órgão diferente do Facilitador padrão.&gt;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Suspensão de papel durante a revisão:</w:t>
      </w:r>
      <w:r>
        <w:t xml:space="preserve"> </w:t>
      </w:r>
      <w:r>
        <w:rPr>
          <w:i/>
          <w:iCs/>
        </w:rPr>
        <w:t xml:space="preserve">&lt;os Membros Plenos podem suspender temporariamente a autoridade delegada de um detentor de papel durante a revisão, sem que isso constitua saída forçada.&gt;</w:t>
      </w:r>
    </w:p>
    <w:p>
      <w:r>
        <w:pict>
          <v:rect style="width:0;height:1.5pt" o:hralign="center" o:hrstd="t" o:hr="t"/>
        </w:pict>
      </w:r>
    </w:p>
    <w:bookmarkEnd w:id="23"/>
    <w:bookmarkStart w:id="24" w:name="registro-de-ratificação"/>
    <w:p>
      <w:pPr>
        <w:pStyle w:val="Heading2"/>
      </w:pPr>
      <w:r>
        <w:t xml:space="preserve">Registro de Ratificação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Adotado:</w:t>
      </w:r>
      <w:r>
        <w:t xml:space="preserve"> </w:t>
      </w:r>
      <w:r>
        <w:t xml:space="preserve">&lt;AAAA-MM-DD&gt;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Tipo de decisão:</w:t>
      </w:r>
      <w:r>
        <w:t xml:space="preserve"> </w:t>
      </w:r>
      <w:r>
        <w:t xml:space="preserve">Estratégica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Versão:</w:t>
      </w:r>
      <w:r>
        <w:t xml:space="preserve"> </w:t>
      </w:r>
      <w:r>
        <w:t xml:space="preserve">&lt;versão&gt;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Registro de decisão:</w:t>
      </w:r>
      <w:r>
        <w:t xml:space="preserve"> </w:t>
      </w:r>
      <w:r>
        <w:t xml:space="preserve">&lt;link para o registro de decisão&gt;</w:t>
      </w:r>
    </w:p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4" Target="https://rcos.ecohubs.community/pt-br/articles/rcos-core/v0-1/layer-4-conflict-repair-accountability#61-conflict-classification" TargetMode="External" /><Relationship Type="http://schemas.openxmlformats.org/officeDocument/2006/relationships/hyperlink" Id="rId15" Target="https://rcos.ecohubs.community/pt-br/articles/rcos-core/v0-1/layer-4-conflict-repair-accountability#62-resolution-pathways" TargetMode="External" /><Relationship Type="http://schemas.openxmlformats.org/officeDocument/2006/relationships/hyperlink" Id="rId16" Target="https://rcos.ecohubs.community/pt-br/articles/rcos-core/v0-1/layer-4-conflict-repair-accountability#63-safeguards" TargetMode="External" /><Relationship Type="http://schemas.openxmlformats.org/officeDocument/2006/relationships/hyperlink" Id="rId17" Target="https://rcos.ecohubs.community/pt-br/articles/rcos-core/v0-1/layer-4-conflict-repair-accountability#65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4/conflict-resolution-ladd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s://rcos.ecohubs.community/pt-br/articles/rcos-core/v0-1/layer-4-conflict-repair-accountability#61-conflict-classification" TargetMode="External" /><Relationship Type="http://schemas.openxmlformats.org/officeDocument/2006/relationships/hyperlink" Id="rId15" Target="https://rcos.ecohubs.community/pt-br/articles/rcos-core/v0-1/layer-4-conflict-repair-accountability#62-resolution-pathways" TargetMode="External" /><Relationship Type="http://schemas.openxmlformats.org/officeDocument/2006/relationships/hyperlink" Id="rId16" Target="https://rcos.ecohubs.community/pt-br/articles/rcos-core/v0-1/layer-4-conflict-repair-accountability#63-safeguards" TargetMode="External" /><Relationship Type="http://schemas.openxmlformats.org/officeDocument/2006/relationships/hyperlink" Id="rId17" Target="https://rcos.ecohubs.community/pt-br/articles/rcos-core/v0-1/layer-4-conflict-repair-accountability#65-artifacts" TargetMode="External" /><Relationship Type="http://schemas.openxmlformats.org/officeDocument/2006/relationships/hyperlink" Id="rId13" Target="https://rcos.ecohubs.community/pt-br/articles/rcos-templates" TargetMode="External" /><Relationship Type="http://schemas.openxmlformats.org/officeDocument/2006/relationships/hyperlink" Id="rId12" Target="https://rcos.ecohubs.community/pt-br/articles/rcos-templates/layer-4/conflict-resolution-ladd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2026-07-07T15:16:01Z</dcterms:created>
  <dcterms:modified xsi:type="dcterms:W3CDTF">2026-07-07T15:16:01Z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le-meta">
    <vt:lpwstr>Escada de Resolução de Conflitos</vt:lpwstr>
  </property>
</Properties>
</file>