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6" w:name="regulamento-da-tesouraria"/>
    <w:p>
      <w:pPr>
        <w:pStyle w:val="Heading1"/>
      </w:pPr>
      <w:r>
        <w:t xml:space="preserve">Regulamento da Tesouraria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https://rcos.ecohubs.community/pt-br/articles/rcos-templates/layer-3/treasury-ruleset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3 — Sistema Econômico e de Recursos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§5.3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§5.5</w:t>
        </w:r>
      </w:hyperlink>
    </w:p>
    <w:p>
      <w:r>
        <w:pict>
          <v:rect style="width:0;height:1.5pt" o:hralign="center" o:hrstd="t" o:hr="t"/>
        </w:pict>
      </w:r>
    </w:p>
    <w:bookmarkStart w:id="16" w:name="escopo-da-tesouraria"/>
    <w:p>
      <w:pPr>
        <w:pStyle w:val="Heading2"/>
      </w:pPr>
      <w:r>
        <w:t xml:space="preserve">Escopo da Tesouraria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5.5.4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traçar um limite rígido em torno dos fundos da tesouraria</w:t>
      </w:r>
      <w:r>
        <w:t xml:space="preserve"> </w:t>
      </w:r>
      <w:r>
        <w:t xml:space="preserve">&gt;</w:t>
      </w:r>
      <w:r>
        <w:t xml:space="preserve"> </w:t>
      </w:r>
      <w:r>
        <w:t xml:space="preserve">&gt; Sem um limite explícito, qualquer dinheiro que circule perto da comunidade — o cartão pessoal de uma fundadora, uma conta paralela, um fundo informal de reembolsos — pode acabar sendo tratado como dinheiro comunitário, com todas as obrigações que isso implica. Nomear exatamente quais contas são da tesouraria e quais não são protege tanto a comunidade quanto as pessoas que pagam do próprio bolso.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Nomeie cada conta que faz parte da tesouraria (carteira, conta bancária, etc.) e declare explicitamente que fundos pessoais usados informalmente não são da tesouraria e não geram nenhuma obrigação para a comunidade.</w:t>
      </w:r>
    </w:p>
    <w:p>
      <w:pPr>
        <w:pStyle w:val="BodyText"/>
      </w:pPr>
      <w:r>
        <w:rPr>
          <w:i/>
          <w:iCs/>
        </w:rPr>
        <w:t xml:space="preserve">&lt;Defina quais contas são a tesouraria da comunidade — endereços específicos de carteira, contas bancárias, etc. Declare que qualquer nova conta de tesouraria DEVE ser declarada e aprovada por uma decisão Estratégica antes de receber recursos. Declare que fundos pessoais usados para cobrir custos operacionais não são da tesouraria e não geram nenhum direito de reembolso pela comunidade.&gt;</w:t>
      </w:r>
    </w:p>
    <w:bookmarkEnd w:id="16"/>
    <w:bookmarkStart w:id="17" w:name="fontes-de-receita"/>
    <w:p>
      <w:pPr>
        <w:pStyle w:val="Heading2"/>
      </w:pPr>
      <w:r>
        <w:t xml:space="preserve">Fontes de Receita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5.3.2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canalizar toda receita por uma única lista declarada</w:t>
      </w:r>
      <w:r>
        <w:t xml:space="preserve"> </w:t>
      </w:r>
      <w:r>
        <w:t xml:space="preserve">&gt;</w:t>
      </w:r>
      <w:r>
        <w:t xml:space="preserve"> </w:t>
      </w:r>
      <w:r>
        <w:t xml:space="preserve">&gt; Toda fonte de receita carrega amarras — exigências de prestação de contas, expectativas, riscos de dependência. Se canais de receita podem se abrir informalmente, essas amarras se conectam antes que a comunidade tenha tido a chance de avaliá-las. Uma única lista declarada, alterada apenas por decisões Estratégicas, mantém as obrigações da comunidade sob seu próprio controle.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Nomeie cada fonte de receita que a comunidade tem atualmente e faça referência ao Protocolo de Economia Interna para a regra de que qualquer novo canal de receita requer uma decisão Estratégica.</w:t>
      </w:r>
    </w:p>
    <w:p>
      <w:pPr>
        <w:pStyle w:val="BodyText"/>
      </w:pPr>
      <w:r>
        <w:rPr>
          <w:i/>
          <w:iCs/>
        </w:rPr>
        <w:t xml:space="preserve">&lt;Liste as fontes de receita atuais, ou declare que não há nenhuma. Faça referência à seção Interfaces de Receita Externa no Protocolo de Economia Interna.&gt;</w:t>
      </w:r>
    </w:p>
    <w:bookmarkEnd w:id="17"/>
    <w:bookmarkStart w:id="19" w:name="autoridade-de-gastos"/>
    <w:p>
      <w:pPr>
        <w:pStyle w:val="Heading2"/>
      </w:pPr>
      <w:r>
        <w:t xml:space="preserve">Autoridade de Gastos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5.3.3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8">
        <w:r>
          <w:rPr>
            <w:rStyle w:val="Hyperlink"/>
            <w:i/>
            <w:iCs/>
          </w:rPr>
          <w:t xml:space="preserve">5.7.1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detalhar os limites em uma tabela</w:t>
      </w:r>
      <w:r>
        <w:t xml:space="preserve"> </w:t>
      </w:r>
      <w:r>
        <w:t xml:space="preserve">&gt;</w:t>
      </w:r>
      <w:r>
        <w:t xml:space="preserve"> </w:t>
      </w:r>
      <w:r>
        <w:t xml:space="preserve">&gt; Quando a autoridade de gastos é vaga, surgem dois modos de falha: ou cada pequena decisão é escalada e nada anda, ou uma única pessoa responsável acumula silenciosamente uma discricionariedade que ninguém votou para conceder. Uma tabela com valores, tipos de decisão e órgãos autorizados elimina a ambiguidade e torna qualquer gasto não autorizado imediatamente visível.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os escalões de gasto por valor e o tipo de decisão, órgão autorizado e mecanismo para cada um. Contratos plurianuais e dívidas DEVERIAM ficar em seu próprio escalão (Constitucional).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Valor</w:t>
            </w:r>
          </w:p>
        </w:tc>
        <w:tc>
          <w:tcPr/>
          <w:p>
            <w:pPr>
              <w:pStyle w:val="Compact"/>
            </w:pPr>
            <w:r>
              <w:t xml:space="preserve">Tipo de Decisão</w:t>
            </w:r>
          </w:p>
        </w:tc>
        <w:tc>
          <w:tcPr/>
          <w:p>
            <w:pPr>
              <w:pStyle w:val="Compact"/>
            </w:pPr>
            <w:r>
              <w:t xml:space="preserve">Órgão Autorizado</w:t>
            </w:r>
          </w:p>
        </w:tc>
        <w:tc>
          <w:tcPr/>
          <w:p>
            <w:pPr>
              <w:pStyle w:val="Compact"/>
            </w:pPr>
            <w:r>
              <w:t xml:space="preserve">Mecanismo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i/>
                <w:iCs/>
              </w:rPr>
              <w:t xml:space="preserve">&lt;Até o limite delegado (ex.: R$ X)&gt;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&lt;Operacional&gt;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&lt;Pessoa Responsável pelas Finanças&gt;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&lt;Delegado&gt;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i/>
                <w:iCs/>
              </w:rPr>
              <w:t xml:space="preserve">&lt;Qualquer valor acima do limite delegado&gt;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&lt;Estratégica&gt;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&lt;Membros Plenos&gt;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&lt;Votação&gt;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i/>
                <w:iCs/>
              </w:rPr>
              <w:t xml:space="preserve">&lt;Contratos plurianuais, dívidas ou obrigações financeiras estruturais&gt;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&lt;Constitucional&gt;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&lt;Membros Plenos&gt;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&lt;Supermaioria + ratificação&gt;</w:t>
            </w:r>
          </w:p>
        </w:tc>
      </w:tr>
    </w:tbl>
    <w:bookmarkEnd w:id="19"/>
    <w:bookmarkStart w:id="21" w:name="transparência-e-prestação-de-contas"/>
    <w:p>
      <w:pPr>
        <w:pStyle w:val="Heading2"/>
      </w:pPr>
      <w:r>
        <w:t xml:space="preserve">Transparência e Prestação de Contas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5.3.4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5.3.5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0">
        <w:r>
          <w:rPr>
            <w:rStyle w:val="Hyperlink"/>
            <w:i/>
            <w:iCs/>
          </w:rPr>
          <w:t xml:space="preserve">5.6.1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tornar a transparência o padrão, e não um recurso opcional</w:t>
      </w:r>
      <w:r>
        <w:t xml:space="preserve"> </w:t>
      </w:r>
      <w:r>
        <w:t xml:space="preserve">&gt;</w:t>
      </w:r>
      <w:r>
        <w:t xml:space="preserve"> </w:t>
      </w:r>
      <w:r>
        <w:t xml:space="preserve">&gt; A opacidade em uma tesouraria se acumula: uma divulgação ausente convida outra, e em pouco tempo os membros já não conseguem verificar se o dinheiro da comunidade está sendo gerido como acordaram. Tornar a visibilidade em tempo real a linha de base — e exigir que qualquer exceção seja nomeada, justificada e com prazo definido — mantém a auditoria ao alcance de cada membro, não só das pessoas responsáveis.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o padrão de visibilidade para cada conta da tesouraria. Onde a visibilidade direta não for possível (ex.: algumas contas bancárias), defina uma cadência periódica de prestação de contas com um responsável nomeado.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&lt;Tesouraria principal (ex.: multi-sig Safe): todos os Membros Plenos têm, no mínimo, acesso de leitura; visibilidade em tempo real.&gt;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&lt;Outras contas declaradas: acesso direto de leitura para múltiplos usuários, se houver suporte; caso contrário, resumo periódico de saldo e transações.&gt;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&lt;Todas as decisões de gasto fazem referência ao registro de governança vinculado (ID da votação ou registro de decisão delegada).&gt;</w:t>
      </w:r>
    </w:p>
    <w:bookmarkEnd w:id="21"/>
    <w:bookmarkStart w:id="22" w:name="restrições-de-reserva-risco-e-dívida"/>
    <w:p>
      <w:pPr>
        <w:pStyle w:val="Heading2"/>
      </w:pPr>
      <w:r>
        <w:t xml:space="preserve">Restrições de Reserva, Risco e Dívida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5.3.6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bloquear dívida e obrigações de longo prazo por padrão</w:t>
      </w:r>
      <w:r>
        <w:t xml:space="preserve"> </w:t>
      </w:r>
      <w:r>
        <w:t xml:space="preserve">&gt;</w:t>
      </w:r>
      <w:r>
        <w:t xml:space="preserve"> </w:t>
      </w:r>
      <w:r>
        <w:t xml:space="preserve">&gt; Dívida e compromissos recorrentes vinculam a comunidade para além das pessoas que estão nela hoje — futuros membros herdam as obrigações. Proibi-los a menos que uma votação Estratégica autorize explicitamente impede que restrições de longo prazo sejam assumidas de forma leviana e preserva a opção de manter a estrutura enxuta.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as regras sobre dívida, obrigações recorrentes, reservas de contingência e instrumentos financeiros fora da tesouraria. Padrão para</w:t>
      </w:r>
      <w:r>
        <w:t xml:space="preserve"> </w:t>
      </w:r>
      <w:r>
        <w:t xml:space="preserve">“não permitido sem votação Estratégica”</w:t>
      </w:r>
      <w:r>
        <w:t xml:space="preserve"> </w:t>
      </w:r>
      <w:r>
        <w:t xml:space="preserve">para qualquer coisa que vincule o futuro.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Dívida:</w:t>
      </w:r>
      <w:r>
        <w:t xml:space="preserve"> </w:t>
      </w:r>
      <w:r>
        <w:rPr>
          <w:i/>
          <w:iCs/>
        </w:rPr>
        <w:t xml:space="preserve">&lt;permitida apenas via votação Estratégica.&gt;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Obrigações de longo prazo:</w:t>
      </w:r>
      <w:r>
        <w:t xml:space="preserve"> </w:t>
      </w:r>
      <w:r>
        <w:rPr>
          <w:i/>
          <w:iCs/>
        </w:rPr>
        <w:t xml:space="preserve">&lt;custos / contratos recorrentes permitidos apenas via votação Estratégica.&gt;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Reserva de contingência:</w:t>
      </w:r>
      <w:r>
        <w:t xml:space="preserve"> </w:t>
      </w:r>
      <w:r>
        <w:rPr>
          <w:i/>
          <w:iCs/>
        </w:rPr>
        <w:t xml:space="preserve">&lt;meta de reserva, ou declare que ainda não está definida.&gt;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Instrumentos fora da tesouraria:</w:t>
      </w:r>
      <w:r>
        <w:t xml:space="preserve"> </w:t>
      </w:r>
      <w:r>
        <w:rPr>
          <w:i/>
          <w:iCs/>
        </w:rPr>
        <w:t xml:space="preserve">&lt;empréstimos, investimentos, garantias apenas via votação Estratégica.&gt;</w:t>
      </w:r>
    </w:p>
    <w:bookmarkEnd w:id="22"/>
    <w:bookmarkStart w:id="24" w:name="regras-de-conflito-de-interesses"/>
    <w:p>
      <w:pPr>
        <w:pStyle w:val="Heading2"/>
      </w:pPr>
      <w:r>
        <w:t xml:space="preserve">Regras de Conflito de Interesses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23">
        <w:r>
          <w:rPr>
            <w:rStyle w:val="Hyperlink"/>
            <w:i/>
            <w:iCs/>
          </w:rPr>
          <w:t xml:space="preserve">5.4.3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proibir a autoaprovação de forma direta</w:t>
      </w:r>
      <w:r>
        <w:t xml:space="preserve"> </w:t>
      </w:r>
      <w:r>
        <w:t xml:space="preserve">&gt;</w:t>
      </w:r>
      <w:r>
        <w:t xml:space="preserve"> </w:t>
      </w:r>
      <w:r>
        <w:t xml:space="preserve">&gt; Até mesmo pessoas bem-intencionadas inclinam, inconscientemente, decisões a favor dos próprios interesses; uma regra que exige divulgação e abstenção elimina o julgamento subjetivo e a pressão social para</w:t>
      </w:r>
      <w:r>
        <w:t xml:space="preserve"> </w:t>
      </w:r>
      <w:r>
        <w:t xml:space="preserve">“confiar em alguém”</w:t>
      </w:r>
      <w:r>
        <w:t xml:space="preserve">. A autoaprovação de gastos é, isoladamente, a forma mais comum pela qual pequenos sistemas de governança perdem integridade silenciosamente, por isso a regra é colocada de forma direta.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a regra de não autoaprovação e a regra de divulgar-e-abster-se para qualquer membro com interesse financeiro direto em uma decisão de gasto.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&lt;Quem solicita NÃO DEVE aprovar suas próprias solicitações de gasto.&gt;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&lt;Membros com interesse financeiro direto em uma decisão de gasto DEVEM declará-lo e abster-se.&gt;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&lt;Quem ocupa cargo na tesouraria NÃO DEVE autorizar gastos unilaterais acima do limite delegado.&gt;</w:t>
      </w:r>
    </w:p>
    <w:p>
      <w:r>
        <w:pict>
          <v:rect style="width:0;height:1.5pt" o:hralign="center" o:hrstd="t" o:hr="t"/>
        </w:pict>
      </w:r>
    </w:p>
    <w:bookmarkEnd w:id="24"/>
    <w:bookmarkStart w:id="25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&lt;link para o registro de decisão&gt;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3-economic-resource-system#53-treasury-management" TargetMode="External" /><Relationship Type="http://schemas.openxmlformats.org/officeDocument/2006/relationships/hyperlink" Id="rId23" Target="https://rcos.ecohubs.community/pt-br/articles/rcos-core/v0-1/layer-3-economic-resource-system#54-accumulation-constraints" TargetMode="External" /><Relationship Type="http://schemas.openxmlformats.org/officeDocument/2006/relationships/hyperlink" Id="rId15" Target="https://rcos.ecohubs.community/pt-br/articles/rcos-core/v0-1/layer-3-economic-resource-system#55-artifacts" TargetMode="External" /><Relationship Type="http://schemas.openxmlformats.org/officeDocument/2006/relationships/hyperlink" Id="rId20" Target="https://rcos.ecohubs.community/pt-br/articles/rcos-core/v0-1/layer-3-economic-resource-system#56-layer-invariants" TargetMode="External" /><Relationship Type="http://schemas.openxmlformats.org/officeDocument/2006/relationships/hyperlink" Id="rId18" Target="https://rcos.ecohubs.community/pt-br/articles/rcos-core/v0-1/layer-3-economic-resource-system#57-explicitness-rule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3/treasury-rules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3-economic-resource-system#53-treasury-management" TargetMode="External" /><Relationship Type="http://schemas.openxmlformats.org/officeDocument/2006/relationships/hyperlink" Id="rId23" Target="https://rcos.ecohubs.community/pt-br/articles/rcos-core/v0-1/layer-3-economic-resource-system#54-accumulation-constraints" TargetMode="External" /><Relationship Type="http://schemas.openxmlformats.org/officeDocument/2006/relationships/hyperlink" Id="rId15" Target="https://rcos.ecohubs.community/pt-br/articles/rcos-core/v0-1/layer-3-economic-resource-system#55-artifacts" TargetMode="External" /><Relationship Type="http://schemas.openxmlformats.org/officeDocument/2006/relationships/hyperlink" Id="rId20" Target="https://rcos.ecohubs.community/pt-br/articles/rcos-core/v0-1/layer-3-economic-resource-system#56-layer-invariants" TargetMode="External" /><Relationship Type="http://schemas.openxmlformats.org/officeDocument/2006/relationships/hyperlink" Id="rId18" Target="https://rcos.ecohubs.community/pt-br/articles/rcos-core/v0-1/layer-3-economic-resource-system#57-explicitness-rule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3/treasury-rules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Regulamento da Tesouraria</vt:lpwstr>
  </property>
</Properties>
</file>