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8" w:name="protocolo-de-economia-interna"/>
    <w:p>
      <w:pPr>
        <w:pStyle w:val="Heading1"/>
      </w:pPr>
      <w:r>
        <w:t xml:space="preserve">Protocolo de Economia Interna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https://rcos.ecohubs.community/pt-br/articles/rcos-templates/layer-3/internal-economy-protocol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3 — Sistema Econômico e de Recursos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§5.1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§5.2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§5.4</w:t>
        </w:r>
      </w:hyperlink>
      <w:r>
        <w:t xml:space="preserve">,</w:t>
      </w:r>
      <w:r>
        <w:t xml:space="preserve"> </w:t>
      </w:r>
      <w:hyperlink r:id="rId17">
        <w:r>
          <w:rPr>
            <w:rStyle w:val="Hyperlink"/>
          </w:rPr>
          <w:t xml:space="preserve">§5.5</w:t>
        </w:r>
      </w:hyperlink>
    </w:p>
    <w:p>
      <w:r>
        <w:pict>
          <v:rect style="width:0;height:1.5pt" o:hralign="center" o:hrstd="t" o:hr="t"/>
        </w:pict>
      </w:r>
    </w:p>
    <w:bookmarkStart w:id="19" w:name="classificação-bens-comuns-vs-privados"/>
    <w:p>
      <w:pPr>
        <w:pStyle w:val="Heading2"/>
      </w:pPr>
      <w:r>
        <w:t xml:space="preserve">Classificação Bens Comuns vs. Privados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5.1.3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5.1.4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5.1.5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5.6.2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classificar cada recurso</w:t>
      </w:r>
      <w:r>
        <w:t xml:space="preserve"> </w:t>
      </w:r>
      <w:r>
        <w:t xml:space="preserve">&gt;</w:t>
      </w:r>
      <w:r>
        <w:t xml:space="preserve"> </w:t>
      </w:r>
      <w:r>
        <w:t xml:space="preserve">&gt; Recursos não classificados são onde a privatização silenciosa acontece — alguém começa a tratar um ativo compartilhado como pessoal, ou um ativo privado é absorvido silenciosamente pelas obrigações da comunidade, e quando alguém percebe a norma já mudou. A classificação explícita, com guardiões e regras de transferência nomeadas desde o início, transforma qualquer mudança nesse status em um ato de governança visível, em vez de um fato que se infiltra.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recurso que a comunidade possui, declare a classificação (Bens Comuns / Privado), nomeie um guardião, defina as regras de acesso e indique as restrições de transferência. Recursos não classificados não devem ser alocados, onerados, monetizados ou transferidos até serem classificados.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Recurso</w:t>
            </w:r>
          </w:p>
        </w:tc>
        <w:tc>
          <w:tcPr/>
          <w:p>
            <w:pPr>
              <w:pStyle w:val="Compact"/>
            </w:pPr>
            <w:r>
              <w:t xml:space="preserve">Classificação</w:t>
            </w:r>
          </w:p>
        </w:tc>
        <w:tc>
          <w:tcPr/>
          <w:p>
            <w:pPr>
              <w:pStyle w:val="Compact"/>
            </w:pPr>
            <w:r>
              <w:t xml:space="preserve">Guardião</w:t>
            </w:r>
          </w:p>
        </w:tc>
        <w:tc>
          <w:tcPr/>
          <w:p>
            <w:pPr>
              <w:pStyle w:val="Compact"/>
            </w:pPr>
            <w:r>
              <w:t xml:space="preserve">Regras de acesso</w:t>
            </w:r>
          </w:p>
        </w:tc>
        <w:tc>
          <w:tcPr/>
          <w:p>
            <w:pPr>
              <w:pStyle w:val="Compact"/>
            </w:pPr>
            <w:r>
              <w:t xml:space="preserve">Restrições de transferência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especificação e artefatos RCOS&gt;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&lt;Bens Comuns / Privado&gt;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 do guardião&gt;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&lt;quem lê / escreve&gt;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&lt;restrições de transferência&gt;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Tesouraria compartilhada&gt;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Site / domínios da comunidade&gt;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Marca e contas em redes sociais&gt;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Terra ou infraestrutura física&gt;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</w:tbl>
    <w:p>
      <w:pPr>
        <w:pStyle w:val="BodyText"/>
      </w:pPr>
      <w:r>
        <w:t xml:space="preserve">&gt; Qualquer recurso não classificado não deve ser alocado, onerado, monetizado ou transferido até que a classificação seja concluída.</w:t>
      </w:r>
    </w:p>
    <w:bookmarkEnd w:id="19"/>
    <w:bookmarkStart w:id="20" w:name="categorias-de-contribuição-reconhecidas"/>
    <w:p>
      <w:pPr>
        <w:pStyle w:val="Heading2"/>
      </w:pPr>
      <w:r>
        <w:t xml:space="preserve">Categorias de Contribuição Reconhecidas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5.6.3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nomear os tipos de trabalho que contam</w:t>
      </w:r>
      <w:r>
        <w:t xml:space="preserve"> </w:t>
      </w:r>
      <w:r>
        <w:t xml:space="preserve">&gt;</w:t>
      </w:r>
      <w:r>
        <w:t xml:space="preserve"> </w:t>
      </w:r>
      <w:r>
        <w:t xml:space="preserve">&gt; Se a comunidade nunca diz em voz alta de quais tipos de trabalho depende, o trabalho invisível — cuidado, facilitação, moderação, gestão — permanece invisível, e as pessoas que o realizam se esgotam ou vão embora. Enumerar categorias converte</w:t>
      </w:r>
      <w:r>
        <w:t xml:space="preserve"> </w:t>
      </w:r>
      <w:r>
        <w:t xml:space="preserve">“alguém simplesmente faz isso”</w:t>
      </w:r>
      <w:r>
        <w:t xml:space="preserve"> </w:t>
      </w:r>
      <w:r>
        <w:t xml:space="preserve">em trabalho reconhecido que o sistema precisa contabilizar.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as categorias de contribuição que sua comunidade reconhece. Cuidado, facilitação, gestão e participação informal são comumente sub-reconhecidos — nomeie-os explicitamente se forem aplicáveis.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Categoria</w:t>
            </w:r>
          </w:p>
        </w:tc>
        <w:tc>
          <w:tcPr/>
          <w:p>
            <w:pPr>
              <w:pStyle w:val="Compact"/>
            </w:pPr>
            <w:r>
              <w:t xml:space="preserve">Exemplos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Conhecimento e Pesquisa&gt;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Desenvolvimento Técnico&gt;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Governança e Coordenação&gt;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Construção de Comunidade&gt;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Cuidado e Apoio&gt;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Gestão (Stewardship)&gt;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Participação Informal&gt;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&lt;exemplos&gt;</w:t>
            </w:r>
          </w:p>
        </w:tc>
      </w:tr>
    </w:tbl>
    <w:bookmarkEnd w:id="20"/>
    <w:bookmarkStart w:id="21" w:name="Xc8b91790a597eb0c305307b46b51cb85dc0dfca"/>
    <w:p>
      <w:pPr>
        <w:pStyle w:val="Heading2"/>
      </w:pPr>
      <w:r>
        <w:t xml:space="preserve">Mecanismo de Reconhecimento de Contribuições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definir como o reconhecimento realmente funciona</w:t>
      </w:r>
      <w:r>
        <w:t xml:space="preserve"> </w:t>
      </w:r>
      <w:r>
        <w:t xml:space="preserve">&gt;</w:t>
      </w:r>
      <w:r>
        <w:t xml:space="preserve"> </w:t>
      </w:r>
      <w:r>
        <w:t xml:space="preserve">&gt; Sem um mecanismo definido,</w:t>
      </w:r>
      <w:r>
        <w:t xml:space="preserve"> </w:t>
      </w:r>
      <w:r>
        <w:t xml:space="preserve">“quem recebe crédito”</w:t>
      </w:r>
      <w:r>
        <w:t xml:space="preserve"> </w:t>
      </w:r>
      <w:r>
        <w:t xml:space="preserve">se torna uma questão de quem grita mais alto ou está mais próximo de quem decide. Especificar o que se qualifica, como é registrado, quem valida e como contestar transforma o reconhecimento em algo com que um membro pode realmente contar — e impede que o reconhecimento se transforme silenciosamente em influência sobre a governança.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o que se qualifica, como os reconhecimentos são registrados, quem valida, o que eles desbloqueiam (ou não desbloqueiam) e como os membros contestam um registro.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 que se qualifica:</w:t>
      </w:r>
      <w:r>
        <w:t xml:space="preserve"> </w:t>
      </w:r>
      <w:r>
        <w:rPr>
          <w:i/>
          <w:iCs/>
        </w:rPr>
        <w:t xml:space="preserve">&lt;quais atividades contam, e por declaração de quem.&gt;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Como as contribuições são registradas:</w:t>
      </w:r>
      <w:r>
        <w:t xml:space="preserve"> </w:t>
      </w:r>
      <w:r>
        <w:rPr>
          <w:i/>
          <w:iCs/>
        </w:rPr>
        <w:t xml:space="preserve">&lt;canal estruturado; canal informal/autodeclarado.&gt;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Quem valida:</w:t>
      </w:r>
      <w:r>
        <w:t xml:space="preserve"> </w:t>
      </w:r>
      <w:r>
        <w:rPr>
          <w:i/>
          <w:iCs/>
        </w:rPr>
        <w:t xml:space="preserve">&lt;automático / titular de papel / processo de nomeação.&gt;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Efeito sobre acesso/privilégios:</w:t>
      </w:r>
      <w:r>
        <w:t xml:space="preserve"> </w:t>
      </w:r>
      <w:r>
        <w:rPr>
          <w:i/>
          <w:iCs/>
        </w:rPr>
        <w:t xml:space="preserve">&lt;o reconhecimento afeta apenas o saldo da unidade interna; não concede direitos adicionais de governança além do estado de membresia.&gt;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Contestação:</w:t>
      </w:r>
      <w:r>
        <w:t xml:space="preserve"> </w:t>
      </w:r>
      <w:r>
        <w:rPr>
          <w:i/>
          <w:iCs/>
        </w:rPr>
        <w:t xml:space="preserve">&lt;janela e processo para contestar um registro.&gt;</w:t>
      </w:r>
    </w:p>
    <w:bookmarkEnd w:id="21"/>
    <w:bookmarkStart w:id="22" w:name="unidades-internas"/>
    <w:p>
      <w:pPr>
        <w:pStyle w:val="Heading2"/>
      </w:pPr>
      <w:r>
        <w:t xml:space="preserve">Unidades Internas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5.2.5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definir as unidades internas com tanta precisão</w:t>
      </w:r>
      <w:r>
        <w:t xml:space="preserve"> </w:t>
      </w:r>
      <w:r>
        <w:t xml:space="preserve">&gt;</w:t>
      </w:r>
      <w:r>
        <w:t xml:space="preserve"> </w:t>
      </w:r>
      <w:r>
        <w:t xml:space="preserve">&gt; Unidades internas tendem a adquirir poderes nos quais ninguém votou — decaimento, limites, transferibilidade, peso na governança — a menos que cada propriedade seja fixada por escrito. Listar emissão, regras de transferência, privacidade e status explícito de não-governança torna as unidades ferramentas de reconhecimento, em vez de moedas-sombra silenciosas.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Se sua comunidade usa unidades internas (XP, ECO, créditos, etc.), defina o propósito, emissão, transferibilidade, decaimento, limite máximo, prevenção de fraude e privacidade de cada unidade. Indique explicitamente que as unidades não concedem direitos de governança além do estado de membresia.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Propriedade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&lt;Unidade 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&lt;Unidade B&gt;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Propósito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Emissão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Transferibilidade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Expiração / decaimento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Limite máximo (hard cap)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Prevenção de fraude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Privacidade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</w:tbl>
    <w:p>
      <w:pPr>
        <w:pStyle w:val="BodyText"/>
      </w:pPr>
      <w:r>
        <w:t xml:space="preserve">&gt; As unidades internas não concedem direitos de governança além do que o estado de membresia define.</w:t>
      </w:r>
    </w:p>
    <w:bookmarkEnd w:id="22"/>
    <w:bookmarkStart w:id="23" w:name="restrições-de-acumulação"/>
    <w:p>
      <w:pPr>
        <w:pStyle w:val="Heading2"/>
      </w:pPr>
      <w:r>
        <w:t xml:space="preserve">Restrições de Acumulação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5.4.1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5.4.2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5.4.3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5.4.4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5.6.4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restringir a acumulação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Qualquer unidade interna que possa se acumular sem limite eventualmente se torna alavancagem — alguns membros com saldos grandes ganham influência informal que o sistema de governança nunca lhes concedeu. Declarar as regras de acumulação explicitamente, mesmo quando a regra atual é</w:t>
      </w:r>
      <w:r>
        <w:t xml:space="preserve"> </w:t>
      </w:r>
      <w:r>
        <w:t xml:space="preserve">“nenhuma ainda”</w:t>
      </w:r>
      <w:r>
        <w:t xml:space="preserve">, mantém a questão em aberto e força uma decisão visível antes que a concentração se torne um problema estrutural.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a regra atual de acumulação (limite, decaimento, nenhuma) e a regra de que nenhuma unidade interna pode ser convertida em autoridade de governança.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&lt;Limite máximo de unidades internas, se houver.&gt;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&lt;Regra de decaimento, se houver.&gt;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&lt;As unidades internas não podem ser convertidas em autoridade de governança nem usadas para contornar a Matriz de Decisão.&gt;</w:t>
      </w:r>
    </w:p>
    <w:bookmarkEnd w:id="23"/>
    <w:bookmarkStart w:id="25" w:name="interfaces-de-receita-externa"/>
    <w:p>
      <w:pPr>
        <w:pStyle w:val="Heading2"/>
      </w:pPr>
      <w:r>
        <w:t xml:space="preserve">Interfaces de Receita Externa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24">
        <w:r>
          <w:rPr>
            <w:rStyle w:val="Hyperlink"/>
            <w:i/>
            <w:iCs/>
          </w:rPr>
          <w:t xml:space="preserve">5.3.2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exigir aprovação antes que o dinheiro chegue</w:t>
      </w:r>
      <w:r>
        <w:t xml:space="preserve"> </w:t>
      </w:r>
      <w:r>
        <w:t xml:space="preserve">&gt;</w:t>
      </w:r>
      <w:r>
        <w:t xml:space="preserve"> </w:t>
      </w:r>
      <w:r>
        <w:t xml:space="preserve">&gt; Uma vez que os fundos estão em mãos, a conversa muda de</w:t>
      </w:r>
      <w:r>
        <w:t xml:space="preserve"> </w:t>
      </w:r>
      <w:r>
        <w:t xml:space="preserve">“deveríamos aceitar isso?”</w:t>
      </w:r>
      <w:r>
        <w:t xml:space="preserve"> </w:t>
      </w:r>
      <w:r>
        <w:t xml:space="preserve">para</w:t>
      </w:r>
      <w:r>
        <w:t xml:space="preserve"> </w:t>
      </w:r>
      <w:r>
        <w:t xml:space="preserve">“o que fazemos com isso?”</w:t>
      </w:r>
      <w:r>
        <w:t xml:space="preserve"> </w:t>
      </w:r>
      <w:r>
        <w:t xml:space="preserve">— e as condições associadas à receita (termos de subvenção, obrigações de parceria, compromissos de serviço) já estão frequentemente fixadas. Exigir uma decisão Estratégica antes da abertura de qualquer novo canal de receita mantém a comunidade no controle do que assume.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os canais de receita atualmente declarados, nomeie potenciais canais futuros e exija aprovação Estratégica antes que qualquer novo canal seja aberto.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&lt;Canais de receita atuais.&gt;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&lt;Potenciais canais de receita futuros.&gt;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&lt;Regra: qualquer nova interface de receita externa deve ser declarada e aprovada via uma decisão Estratégica antes que os fundos sejam recebidos ou compromissos sejam assumidos.&gt;</w:t>
      </w:r>
    </w:p>
    <w:bookmarkEnd w:id="25"/>
    <w:bookmarkStart w:id="26" w:name="Xbda5eade3882f50773f446b7b76ddf1098e93cd"/>
    <w:p>
      <w:pPr>
        <w:pStyle w:val="Heading2"/>
      </w:pPr>
      <w:r>
        <w:t xml:space="preserve">Resolução de Disputas para Registros Econômicos</w:t>
      </w:r>
    </w:p>
    <w:p>
      <w:pPr>
        <w:pStyle w:val="FirstParagraph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delimitar o tempo das disputas econômicas</w:t>
      </w:r>
      <w:r>
        <w:t xml:space="preserve"> </w:t>
      </w:r>
      <w:r>
        <w:t xml:space="preserve">&gt;</w:t>
      </w:r>
      <w:r>
        <w:t xml:space="preserve"> </w:t>
      </w:r>
      <w:r>
        <w:t xml:space="preserve">&gt; Registros de contribuição e saldo se acumulam rapidamente; se as disputas pudessem ser levantadas indefinidamente, o livro-razão nunca se estabilizaria e cada crédito histórico permaneceria contestável. Uma janela definida com um responsável nomeado e um caminho de apelação dá aos membros uma chance real de corrigir erros sem deixar toda a história econômica perpetuamente instável.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isso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a janela de disputa, o responsável nomeado e o caminho de apelação. Faça referência ao Mecanismo de Reconhecimento de Contribuições para o processo completo.</w:t>
      </w:r>
    </w:p>
    <w:p>
      <w:pPr>
        <w:pStyle w:val="BodyText"/>
      </w:pPr>
      <w:r>
        <w:rPr>
          <w:i/>
          <w:iCs/>
        </w:rPr>
        <w:t xml:space="preserve">&lt;Janela para contestar um registro de contribuição ou saldo; responsável nomeado; caminho de apelação aos Membros Plenos via processo de governança.&gt;</w:t>
      </w:r>
    </w:p>
    <w:p>
      <w:r>
        <w:pict>
          <v:rect style="width:0;height:1.5pt" o:hralign="center" o:hrstd="t" o:hr="t"/>
        </w:pict>
      </w:r>
    </w:p>
    <w:bookmarkEnd w:id="26"/>
    <w:bookmarkStart w:id="27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3-economic-resource-system#51-commons-vs-private-resources" TargetMode="External" /><Relationship Type="http://schemas.openxmlformats.org/officeDocument/2006/relationships/hyperlink" Id="rId15" Target="https://rcos.ecohubs.community/pt-br/articles/rcos-core/v0-1/layer-3-economic-resource-system#52-contribution-recognition" TargetMode="External" /><Relationship Type="http://schemas.openxmlformats.org/officeDocument/2006/relationships/hyperlink" Id="rId24" Target="https://rcos.ecohubs.community/pt-br/articles/rcos-core/v0-1/layer-3-economic-resource-system#53-treasury-management" TargetMode="External" /><Relationship Type="http://schemas.openxmlformats.org/officeDocument/2006/relationships/hyperlink" Id="rId16" Target="https://rcos.ecohubs.community/pt-br/articles/rcos-core/v0-1/layer-3-economic-resource-system#54-accumulation-constraints" TargetMode="External" /><Relationship Type="http://schemas.openxmlformats.org/officeDocument/2006/relationships/hyperlink" Id="rId17" Target="https://rcos.ecohubs.community/pt-br/articles/rcos-core/v0-1/layer-3-economic-resource-system#55-artifacts" TargetMode="External" /><Relationship Type="http://schemas.openxmlformats.org/officeDocument/2006/relationships/hyperlink" Id="rId18" Target="https://rcos.ecohubs.community/pt-br/articles/rcos-core/v0-1/layer-3-economic-resource-system#56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3/internal-economy-protoc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3-economic-resource-system#51-commons-vs-private-resources" TargetMode="External" /><Relationship Type="http://schemas.openxmlformats.org/officeDocument/2006/relationships/hyperlink" Id="rId15" Target="https://rcos.ecohubs.community/pt-br/articles/rcos-core/v0-1/layer-3-economic-resource-system#52-contribution-recognition" TargetMode="External" /><Relationship Type="http://schemas.openxmlformats.org/officeDocument/2006/relationships/hyperlink" Id="rId24" Target="https://rcos.ecohubs.community/pt-br/articles/rcos-core/v0-1/layer-3-economic-resource-system#53-treasury-management" TargetMode="External" /><Relationship Type="http://schemas.openxmlformats.org/officeDocument/2006/relationships/hyperlink" Id="rId16" Target="https://rcos.ecohubs.community/pt-br/articles/rcos-core/v0-1/layer-3-economic-resource-system#54-accumulation-constraints" TargetMode="External" /><Relationship Type="http://schemas.openxmlformats.org/officeDocument/2006/relationships/hyperlink" Id="rId17" Target="https://rcos.ecohubs.community/pt-br/articles/rcos-core/v0-1/layer-3-economic-resource-system#55-artifacts" TargetMode="External" /><Relationship Type="http://schemas.openxmlformats.org/officeDocument/2006/relationships/hyperlink" Id="rId18" Target="https://rcos.ecohubs.community/pt-br/articles/rcos-core/v0-1/layer-3-economic-resource-system#56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3/internal-economy-protoc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Protocolo de Economia Interna</vt:lpwstr>
  </property>
</Properties>
</file>