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media/rId9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FirstParagraph"/>
      </w:pPr>
      <w:r>
        <w:drawing>
          <wp:inline>
            <wp:extent cx="609600" cy="609600"/>
            <wp:effectExtent b="0" l="0" r="0" t="0"/>
            <wp:docPr descr="RCOS" title="" id="10" name="Picture"/>
            <a:graphic>
              <a:graphicData uri="http://schemas.openxmlformats.org/drawingml/2006/picture">
                <pic:pic>
                  <pic:nvPicPr>
                    <pic:cNvPr descr="/Users/el_stefano/Documents/Development/svelte/regenerative-community-blueprint/scripts/logo.png" id="11" name="Picture"/>
                    <pic:cNvPicPr>
                      <a:picLocks noChangeArrowheads="1"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600" cy="6096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rPr>
          <w:b/>
          <w:bCs/>
        </w:rPr>
        <w:t xml:space="preserve">RCOS — Sistema Operacional de Comunidade Regenerativa</w:t>
      </w:r>
    </w:p>
    <w:bookmarkStart w:id="22" w:name="matriz-de-decisão"/>
    <w:p>
      <w:pPr>
        <w:pStyle w:val="Heading1"/>
      </w:pPr>
      <w:r>
        <w:t xml:space="preserve">Matriz de Decisão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Gerado em:</w:t>
      </w:r>
      <w:r>
        <w:t xml:space="preserve"> </w:t>
      </w:r>
      <w:r>
        <w:t xml:space="preserve">2026-07-07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Fonte (versão mais recente):</w:t>
      </w:r>
      <w:r>
        <w:t xml:space="preserve"> </w:t>
      </w:r>
      <w:hyperlink r:id="rId12">
        <w:r>
          <w:rPr>
            <w:rStyle w:val="Hyperlink"/>
          </w:rPr>
          <w:t xml:space="preserve">https://rcos.ecohubs.community/pt-br/articles/rcos-templates/layer-2/decision-matrix</w:t>
        </w:r>
      </w:hyperlink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Todos os modelos RCOS:</w:t>
      </w:r>
      <w:r>
        <w:t xml:space="preserve"> </w:t>
      </w:r>
      <w:hyperlink r:id="rId13">
        <w:r>
          <w:rPr>
            <w:rStyle w:val="Hyperlink"/>
          </w:rPr>
          <w:t xml:space="preserve">https://rcos.ecohubs.community/pt-br/articles/rcos-templates</w:t>
        </w:r>
      </w:hyperlink>
    </w:p>
    <w:p>
      <w:r>
        <w:pict>
          <v:rect style="width:0;height:1.5pt" o:hralign="center" o:hrstd="t" o:hr="t"/>
        </w:pict>
      </w:r>
    </w:p>
    <w:p>
      <w:pPr>
        <w:pStyle w:val="Compact"/>
        <w:numPr>
          <w:ilvl w:val="0"/>
          <w:numId w:val="1002"/>
        </w:numPr>
      </w:pPr>
      <w:r>
        <w:rPr>
          <w:b/>
          <w:bCs/>
        </w:rPr>
        <w:t xml:space="preserve">Camada:</w:t>
      </w:r>
      <w:r>
        <w:t xml:space="preserve"> </w:t>
      </w:r>
      <w:r>
        <w:t xml:space="preserve">2 — Governança e Lógica de Decisão</w:t>
      </w:r>
    </w:p>
    <w:p>
      <w:pPr>
        <w:pStyle w:val="Compact"/>
        <w:numPr>
          <w:ilvl w:val="0"/>
          <w:numId w:val="1002"/>
        </w:numPr>
      </w:pPr>
      <w:r>
        <w:rPr>
          <w:b/>
          <w:bCs/>
        </w:rPr>
        <w:t xml:space="preserve">Status:</w:t>
      </w:r>
      <w:r>
        <w:t xml:space="preserve"> </w:t>
      </w:r>
      <w:r>
        <w:t xml:space="preserve">Modelo — adapte para sua comunidade</w:t>
      </w:r>
    </w:p>
    <w:p>
      <w:pPr>
        <w:pStyle w:val="Compact"/>
        <w:numPr>
          <w:ilvl w:val="0"/>
          <w:numId w:val="1002"/>
        </w:numPr>
      </w:pPr>
      <w:r>
        <w:rPr>
          <w:b/>
          <w:bCs/>
        </w:rPr>
        <w:t xml:space="preserve">Referência RCOS:</w:t>
      </w:r>
      <w:r>
        <w:t xml:space="preserve"> </w:t>
      </w:r>
      <w:hyperlink r:id="rId14">
        <w:r>
          <w:rPr>
            <w:rStyle w:val="Hyperlink"/>
          </w:rPr>
          <w:t xml:space="preserve">§4.2</w:t>
        </w:r>
      </w:hyperlink>
      <w:r>
        <w:t xml:space="preserve">,</w:t>
      </w:r>
      <w:r>
        <w:t xml:space="preserve"> </w:t>
      </w:r>
      <w:hyperlink r:id="rId15">
        <w:r>
          <w:rPr>
            <w:rStyle w:val="Hyperlink"/>
          </w:rPr>
          <w:t xml:space="preserve">§4.4</w:t>
        </w:r>
      </w:hyperlink>
      <w:r>
        <w:t xml:space="preserve">,</w:t>
      </w:r>
      <w:r>
        <w:t xml:space="preserve"> </w:t>
      </w:r>
      <w:hyperlink r:id="rId16">
        <w:r>
          <w:rPr>
            <w:rStyle w:val="Hyperlink"/>
          </w:rPr>
          <w:t xml:space="preserve">§4.7</w:t>
        </w:r>
      </w:hyperlink>
    </w:p>
    <w:p>
      <w:pPr>
        <w:pStyle w:val="FirstParagraph"/>
      </w:pPr>
      <w:r>
        <w:t xml:space="preserve">&gt; Mapeia cada tipo e domínio de decisão para um papel ou órgão autorizado, mecanismo, limiar e caminho de escalonamento. Decisões tomadas fora desta matriz são consideradas inválidas.</w:t>
      </w:r>
    </w:p>
    <w:p>
      <w:r>
        <w:pict>
          <v:rect style="width:0;height:1.5pt" o:hralign="center" o:hrstd="t" o:hr="t"/>
        </w:pict>
      </w:r>
    </w:p>
    <w:bookmarkStart w:id="17" w:name="princípios-de-votação"/>
    <w:p>
      <w:pPr>
        <w:pStyle w:val="Heading2"/>
      </w:pPr>
      <w:r>
        <w:t xml:space="preserve">Princípios de Votação</w:t>
      </w:r>
    </w:p>
    <w:p>
      <w:pPr>
        <w:pStyle w:val="FirstParagraph"/>
      </w:pPr>
      <w:r>
        <w:rPr>
          <w:i/>
          <w:iCs/>
        </w:rPr>
        <w:t xml:space="preserve">Cláusulas RCOS:</w:t>
      </w:r>
      <w:r>
        <w:rPr>
          <w:i/>
          <w:iCs/>
        </w:rPr>
        <w:t xml:space="preserve"> </w:t>
      </w:r>
      <w:hyperlink r:id="rId14">
        <w:r>
          <w:rPr>
            <w:rStyle w:val="Hyperlink"/>
            <w:i/>
            <w:iCs/>
          </w:rPr>
          <w:t xml:space="preserve">4.2.1</w:t>
        </w:r>
      </w:hyperlink>
      <w:r>
        <w:rPr>
          <w:i/>
          <w:iCs/>
        </w:rPr>
        <w:t xml:space="preserve">,</w:t>
      </w:r>
      <w:r>
        <w:rPr>
          <w:i/>
          <w:iCs/>
        </w:rPr>
        <w:t xml:space="preserve"> </w:t>
      </w:r>
      <w:hyperlink r:id="rId14">
        <w:r>
          <w:rPr>
            <w:rStyle w:val="Hyperlink"/>
            <w:i/>
            <w:iCs/>
          </w:rPr>
          <w:t xml:space="preserve">4.2.3</w:t>
        </w:r>
      </w:hyperlink>
      <w:r>
        <w:rPr>
          <w:i/>
          <w:iCs/>
        </w:rPr>
        <w:t xml:space="preserve">,</w:t>
      </w:r>
      <w:r>
        <w:rPr>
          <w:i/>
          <w:iCs/>
        </w:rPr>
        <w:t xml:space="preserve"> </w:t>
      </w:r>
      <w:hyperlink r:id="rId14">
        <w:r>
          <w:rPr>
            <w:rStyle w:val="Hyperlink"/>
            <w:i/>
            <w:iCs/>
          </w:rPr>
          <w:t xml:space="preserve">4.2.4</w:t>
        </w:r>
      </w:hyperlink>
    </w:p>
    <w:p>
      <w:pPr>
        <w:pStyle w:val="BodyText"/>
      </w:pPr>
      <w:r>
        <w:t xml:space="preserve">&gt;</w:t>
      </w:r>
      <w:r>
        <w:t xml:space="preserve"> </w:t>
      </w:r>
      <w:r>
        <w:rPr>
          <w:b/>
          <w:bCs/>
        </w:rPr>
        <w:t xml:space="preserve">Justificativa — Por que fixar mecanismo, limiar e prazos</w:t>
      </w:r>
      <w:r>
        <w:t xml:space="preserve"> </w:t>
      </w:r>
      <w:r>
        <w:t xml:space="preserve">&gt;</w:t>
      </w:r>
      <w:r>
        <w:t xml:space="preserve"> </w:t>
      </w:r>
      <w:r>
        <w:t xml:space="preserve">&gt; Uma votação sem mecanismo, limiar e janela de deliberação predefinidos é um convite para fabricar resultados depois do fato — quem conta os votos ou define o relógio vence. Declarar esses parâmetros com antecedência torna cada decisão coletiva reproduzível e contestável nos mesmos termos, independentemente de quem está na sala.</w:t>
      </w:r>
    </w:p>
    <w:p>
      <w:pPr>
        <w:pStyle w:val="BodyText"/>
      </w:pPr>
      <w:r>
        <w:t xml:space="preserve">&gt;</w:t>
      </w:r>
      <w:r>
        <w:t xml:space="preserve"> </w:t>
      </w:r>
      <w:r>
        <w:rPr>
          <w:b/>
          <w:bCs/>
        </w:rPr>
        <w:t xml:space="preserve">Instruções — Como preencher</w:t>
      </w:r>
      <w:r>
        <w:t xml:space="preserve"> </w:t>
      </w:r>
      <w:r>
        <w:t xml:space="preserve">&gt;</w:t>
      </w:r>
      <w:r>
        <w:t xml:space="preserve"> </w:t>
      </w:r>
      <w:r>
        <w:t xml:space="preserve">&gt; Indique a plataforma de votação, o limiar para cada tipo de decisão, o período de deliberação, a regra de empate, a regra de nova votação e qualquer limite de gastos ou escopo da autoridade delegada.</w:t>
      </w:r>
    </w:p>
    <w:p>
      <w:pPr>
        <w:pStyle w:val="Compact"/>
        <w:numPr>
          <w:ilvl w:val="0"/>
          <w:numId w:val="1003"/>
        </w:numPr>
      </w:pPr>
      <w:r>
        <w:rPr>
          <w:b/>
          <w:bCs/>
        </w:rPr>
        <w:t xml:space="preserve">Plataforma de votação:</w:t>
      </w:r>
      <w:r>
        <w:t xml:space="preserve"> </w:t>
      </w:r>
      <w:r>
        <w:rPr>
          <w:i/>
          <w:iCs/>
        </w:rPr>
        <w:t xml:space="preserve">&lt;ex.: Snapshot, Loomio, consenso presencial.&gt;</w:t>
      </w:r>
    </w:p>
    <w:p>
      <w:pPr>
        <w:pStyle w:val="Compact"/>
        <w:numPr>
          <w:ilvl w:val="0"/>
          <w:numId w:val="1003"/>
        </w:numPr>
      </w:pPr>
      <w:r>
        <w:rPr>
          <w:b/>
          <w:bCs/>
        </w:rPr>
        <w:t xml:space="preserve">Limiar operacional:</w:t>
      </w:r>
      <w:r>
        <w:t xml:space="preserve"> </w:t>
      </w:r>
      <w:r>
        <w:rPr>
          <w:i/>
          <w:iCs/>
        </w:rPr>
        <w:t xml:space="preserve">&lt;ex.: nenhuma votação necessária — delegada ao detentor do papel operacional relevante conforme o Registro de Papéis.&gt;</w:t>
      </w:r>
    </w:p>
    <w:p>
      <w:pPr>
        <w:pStyle w:val="Compact"/>
        <w:numPr>
          <w:ilvl w:val="0"/>
          <w:numId w:val="1003"/>
        </w:numPr>
      </w:pPr>
      <w:r>
        <w:rPr>
          <w:b/>
          <w:bCs/>
        </w:rPr>
        <w:t xml:space="preserve">Limiar estratégico:</w:t>
      </w:r>
      <w:r>
        <w:t xml:space="preserve"> </w:t>
      </w:r>
      <w:r>
        <w:rPr>
          <w:i/>
          <w:iCs/>
        </w:rPr>
        <w:t xml:space="preserve">&lt;ex.: maioria simples (&gt;50%); deliberação mínima de X dias.&gt;</w:t>
      </w:r>
    </w:p>
    <w:p>
      <w:pPr>
        <w:pStyle w:val="Compact"/>
        <w:numPr>
          <w:ilvl w:val="0"/>
          <w:numId w:val="1003"/>
        </w:numPr>
      </w:pPr>
      <w:r>
        <w:rPr>
          <w:b/>
          <w:bCs/>
        </w:rPr>
        <w:t xml:space="preserve">Limiar constitucional:</w:t>
      </w:r>
      <w:r>
        <w:t xml:space="preserve"> </w:t>
      </w:r>
      <w:r>
        <w:rPr>
          <w:i/>
          <w:iCs/>
        </w:rPr>
        <w:t xml:space="preserve">&lt;ex.: supermaioria (≥⅔); deliberação mínima de Y dias; período de ratificação de Z dias.&gt;</w:t>
      </w:r>
    </w:p>
    <w:p>
      <w:pPr>
        <w:pStyle w:val="Compact"/>
        <w:numPr>
          <w:ilvl w:val="0"/>
          <w:numId w:val="1003"/>
        </w:numPr>
      </w:pPr>
      <w:r>
        <w:rPr>
          <w:b/>
          <w:bCs/>
        </w:rPr>
        <w:t xml:space="preserve">Empate:</w:t>
      </w:r>
      <w:r>
        <w:t xml:space="preserve"> </w:t>
      </w:r>
      <w:r>
        <w:rPr>
          <w:i/>
          <w:iCs/>
        </w:rPr>
        <w:t xml:space="preserve">&lt;ex.: a proposta falha; o status quo é mantido.&gt;</w:t>
      </w:r>
    </w:p>
    <w:p>
      <w:pPr>
        <w:pStyle w:val="Compact"/>
        <w:numPr>
          <w:ilvl w:val="0"/>
          <w:numId w:val="1003"/>
        </w:numPr>
      </w:pPr>
      <w:r>
        <w:rPr>
          <w:b/>
          <w:bCs/>
        </w:rPr>
        <w:t xml:space="preserve">Nova votação:</w:t>
      </w:r>
      <w:r>
        <w:t xml:space="preserve"> </w:t>
      </w:r>
      <w:r>
        <w:rPr>
          <w:i/>
          <w:iCs/>
        </w:rPr>
        <w:t xml:space="preserve">&lt;ex.: qualquer Membro Pleno pode acionar nova votação com uma objeção escrita e fundamentada citando uma consideração não abordada durante a deliberação.&gt;</w:t>
      </w:r>
    </w:p>
    <w:p>
      <w:pPr>
        <w:pStyle w:val="Compact"/>
        <w:numPr>
          <w:ilvl w:val="0"/>
          <w:numId w:val="1003"/>
        </w:numPr>
      </w:pPr>
      <w:r>
        <w:rPr>
          <w:b/>
          <w:bCs/>
        </w:rPr>
        <w:t xml:space="preserve">Objeção fundamentada:</w:t>
      </w:r>
      <w:r>
        <w:t xml:space="preserve"> </w:t>
      </w:r>
      <w:r>
        <w:rPr>
          <w:i/>
          <w:iCs/>
        </w:rPr>
        <w:t xml:space="preserve">&lt;defina o que qualifica como objeção fundamentada — citar uma consideração específica não levantada durante a deliberação; discordância geral não qualifica.&gt;</w:t>
      </w:r>
    </w:p>
    <w:p>
      <w:pPr>
        <w:pStyle w:val="Compact"/>
        <w:numPr>
          <w:ilvl w:val="0"/>
          <w:numId w:val="1003"/>
        </w:numPr>
      </w:pPr>
      <w:r>
        <w:rPr>
          <w:b/>
          <w:bCs/>
        </w:rPr>
        <w:t xml:space="preserve">Limite de gastos da autoridade delegada:</w:t>
      </w:r>
      <w:r>
        <w:t xml:space="preserve"> </w:t>
      </w:r>
      <w:r>
        <w:rPr>
          <w:i/>
          <w:iCs/>
        </w:rPr>
        <w:t xml:space="preserve">&lt;ex.: R$ 0; ou defina um limiar abaixo do qual gastos delegados são permitidos.&gt;</w:t>
      </w:r>
    </w:p>
    <w:p>
      <w:pPr>
        <w:pStyle w:val="Compact"/>
        <w:numPr>
          <w:ilvl w:val="0"/>
          <w:numId w:val="1003"/>
        </w:numPr>
      </w:pPr>
      <w:r>
        <w:rPr>
          <w:i/>
          <w:iCs/>
        </w:rPr>
        <w:t xml:space="preserve">&lt;Outros princípios de votação que sua comunidade queira declarar.&gt;</w:t>
      </w:r>
    </w:p>
    <w:p>
      <w:r>
        <w:pict>
          <v:rect style="width:0;height:1.5pt" o:hralign="center" o:hrstd="t" o:hr="t"/>
        </w:pict>
      </w:r>
    </w:p>
    <w:bookmarkEnd w:id="17"/>
    <w:bookmarkStart w:id="18" w:name="matriz"/>
    <w:p>
      <w:pPr>
        <w:pStyle w:val="Heading2"/>
      </w:pPr>
      <w:r>
        <w:t xml:space="preserve">Matriz</w:t>
      </w:r>
    </w:p>
    <w:p>
      <w:pPr>
        <w:pStyle w:val="FirstParagraph"/>
      </w:pPr>
      <w:r>
        <w:rPr>
          <w:i/>
          <w:iCs/>
        </w:rPr>
        <w:t xml:space="preserve">Cláusulas RCOS:</w:t>
      </w:r>
      <w:r>
        <w:rPr>
          <w:i/>
          <w:iCs/>
        </w:rPr>
        <w:t xml:space="preserve"> </w:t>
      </w:r>
      <w:hyperlink r:id="rId15">
        <w:r>
          <w:rPr>
            <w:rStyle w:val="Hyperlink"/>
            <w:i/>
            <w:iCs/>
          </w:rPr>
          <w:t xml:space="preserve">4.4.1</w:t>
        </w:r>
      </w:hyperlink>
      <w:r>
        <w:rPr>
          <w:i/>
          <w:iCs/>
        </w:rPr>
        <w:t xml:space="preserve">,</w:t>
      </w:r>
      <w:r>
        <w:rPr>
          <w:i/>
          <w:iCs/>
        </w:rPr>
        <w:t xml:space="preserve"> </w:t>
      </w:r>
      <w:hyperlink r:id="rId15">
        <w:r>
          <w:rPr>
            <w:rStyle w:val="Hyperlink"/>
            <w:i/>
            <w:iCs/>
          </w:rPr>
          <w:t xml:space="preserve">4.4.2</w:t>
        </w:r>
      </w:hyperlink>
      <w:r>
        <w:rPr>
          <w:i/>
          <w:iCs/>
        </w:rPr>
        <w:t xml:space="preserve">,</w:t>
      </w:r>
      <w:r>
        <w:rPr>
          <w:i/>
          <w:iCs/>
        </w:rPr>
        <w:t xml:space="preserve"> </w:t>
      </w:r>
      <w:hyperlink r:id="rId15">
        <w:r>
          <w:rPr>
            <w:rStyle w:val="Hyperlink"/>
            <w:i/>
            <w:iCs/>
          </w:rPr>
          <w:t xml:space="preserve">4.4.3</w:t>
        </w:r>
      </w:hyperlink>
      <w:r>
        <w:rPr>
          <w:i/>
          <w:iCs/>
        </w:rPr>
        <w:t xml:space="preserve">,</w:t>
      </w:r>
      <w:r>
        <w:rPr>
          <w:i/>
          <w:iCs/>
        </w:rPr>
        <w:t xml:space="preserve"> </w:t>
      </w:r>
      <w:hyperlink r:id="rId15">
        <w:r>
          <w:rPr>
            <w:rStyle w:val="Hyperlink"/>
            <w:i/>
            <w:iCs/>
          </w:rPr>
          <w:t xml:space="preserve">4.4.4</w:t>
        </w:r>
      </w:hyperlink>
    </w:p>
    <w:p>
      <w:pPr>
        <w:pStyle w:val="BodyText"/>
      </w:pPr>
      <w:r>
        <w:t xml:space="preserve">&gt;</w:t>
      </w:r>
      <w:r>
        <w:t xml:space="preserve"> </w:t>
      </w:r>
      <w:r>
        <w:rPr>
          <w:b/>
          <w:bCs/>
        </w:rPr>
        <w:t xml:space="preserve">Justificativa — Por que uma única matriz autoritativa</w:t>
      </w:r>
      <w:r>
        <w:t xml:space="preserve"> </w:t>
      </w:r>
      <w:r>
        <w:t xml:space="preserve">&gt;</w:t>
      </w:r>
      <w:r>
        <w:t xml:space="preserve"> </w:t>
      </w:r>
      <w:r>
        <w:t xml:space="preserve">&gt; Se as regras sobre quem decide o quê vivem na cabeça das pessoas, a autoridade vira o que a pessoa mais barulhenta ou mais sênior disser. Uma matriz pública que vincula cada decisão a um domínio, órgão, mecanismo e limiar torna ações fora de escopo visíveis no momento em que acontecem — e torna qualquer decisão tomada fora dela inválida por construção.</w:t>
      </w:r>
    </w:p>
    <w:p>
      <w:pPr>
        <w:pStyle w:val="BodyText"/>
      </w:pPr>
      <w:r>
        <w:t xml:space="preserve">&gt;</w:t>
      </w:r>
      <w:r>
        <w:t xml:space="preserve"> </w:t>
      </w:r>
      <w:r>
        <w:rPr>
          <w:b/>
          <w:bCs/>
        </w:rPr>
        <w:t xml:space="preserve">Instruções — Como preencher</w:t>
      </w:r>
      <w:r>
        <w:t xml:space="preserve"> </w:t>
      </w:r>
      <w:r>
        <w:t xml:space="preserve">&gt;</w:t>
      </w:r>
      <w:r>
        <w:t xml:space="preserve"> </w:t>
      </w:r>
      <w:r>
        <w:t xml:space="preserve">&gt; Para cada domínio de decisão (admissão de membros, tesouraria, plataforma, parcerias, governança etc.), defina o tipo de decisão, o órgão autorizado, quem é elegível para participar, o mecanismo, o limiar, as condições de bloqueio e o caminho de escalonamento.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990"/>
        <w:gridCol w:w="990"/>
        <w:gridCol w:w="990"/>
        <w:gridCol w:w="990"/>
        <w:gridCol w:w="990"/>
        <w:gridCol w:w="990"/>
        <w:gridCol w:w="990"/>
        <w:gridCol w:w="99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Domínio da Decisão</w:t>
            </w:r>
          </w:p>
        </w:tc>
        <w:tc>
          <w:tcPr/>
          <w:p>
            <w:pPr>
              <w:pStyle w:val="Compact"/>
            </w:pPr>
            <w:r>
              <w:t xml:space="preserve">Tipo de Decisão</w:t>
            </w:r>
          </w:p>
        </w:tc>
        <w:tc>
          <w:tcPr/>
          <w:p>
            <w:pPr>
              <w:pStyle w:val="Compact"/>
            </w:pPr>
            <w:r>
              <w:t xml:space="preserve">Órgão Autorizado</w:t>
            </w:r>
          </w:p>
        </w:tc>
        <w:tc>
          <w:tcPr/>
          <w:p>
            <w:pPr>
              <w:pStyle w:val="Compact"/>
            </w:pPr>
            <w:r>
              <w:t xml:space="preserve">Participantes Elegíveis</w:t>
            </w:r>
          </w:p>
        </w:tc>
        <w:tc>
          <w:tcPr/>
          <w:p>
            <w:pPr>
              <w:pStyle w:val="Compact"/>
            </w:pPr>
            <w:r>
              <w:t xml:space="preserve">Mecanismo</w:t>
            </w:r>
          </w:p>
        </w:tc>
        <w:tc>
          <w:tcPr/>
          <w:p>
            <w:pPr>
              <w:pStyle w:val="Compact"/>
            </w:pPr>
            <w:r>
              <w:t xml:space="preserve">Limiar</w:t>
            </w:r>
          </w:p>
        </w:tc>
        <w:tc>
          <w:tcPr/>
          <w:p>
            <w:pPr>
              <w:pStyle w:val="Compact"/>
            </w:pPr>
            <w:r>
              <w:t xml:space="preserve">Condições de Bloqueio / Veto</w:t>
            </w:r>
          </w:p>
        </w:tc>
        <w:tc>
          <w:tcPr/>
          <w:p>
            <w:pPr>
              <w:pStyle w:val="Compact"/>
            </w:pPr>
            <w:r>
              <w:t xml:space="preserve">Escalonamento</w:t>
            </w:r>
          </w:p>
        </w:tc>
      </w:tr>
      <w:tr>
        <w:tc>
          <w:tcPr/>
          <w:p>
            <w:pPr>
              <w:pStyle w:val="Compact"/>
            </w:pPr>
            <w:r>
              <w:rPr>
                <w:i/>
                <w:iCs/>
              </w:rPr>
              <w:t xml:space="preserve">&lt;ex.: Admissão de membros&gt;</w:t>
            </w:r>
          </w:p>
        </w:tc>
        <w:tc>
          <w:tcPr/>
          <w:p>
            <w:pPr>
              <w:pStyle w:val="Compact"/>
            </w:pPr>
            <w:r>
              <w:rPr>
                <w:i/>
                <w:iCs/>
              </w:rPr>
              <w:t xml:space="preserve">&lt;Operacional / Estratégica / Constitucional&gt;</w:t>
            </w:r>
          </w:p>
        </w:tc>
        <w:tc>
          <w:tcPr/>
          <w:p>
            <w:pPr>
              <w:pStyle w:val="Compact"/>
            </w:pPr>
            <w:r>
              <w:rPr>
                <w:i/>
                <w:iCs/>
              </w:rPr>
              <w:t xml:space="preserve">&lt;papel ou órgão&gt;</w:t>
            </w:r>
          </w:p>
        </w:tc>
        <w:tc>
          <w:tcPr/>
          <w:p>
            <w:pPr>
              <w:pStyle w:val="Compact"/>
            </w:pPr>
            <w:r>
              <w:rPr>
                <w:i/>
                <w:iCs/>
              </w:rPr>
              <w:t xml:space="preserve">&lt;quem participa&gt;</w:t>
            </w:r>
          </w:p>
        </w:tc>
        <w:tc>
          <w:tcPr/>
          <w:p>
            <w:pPr>
              <w:pStyle w:val="Compact"/>
            </w:pPr>
            <w:r>
              <w:rPr>
                <w:i/>
                <w:iCs/>
              </w:rPr>
              <w:t xml:space="preserve">&lt;votação / delegada&gt;</w:t>
            </w:r>
          </w:p>
        </w:tc>
        <w:tc>
          <w:tcPr/>
          <w:p>
            <w:pPr>
              <w:pStyle w:val="Compact"/>
            </w:pPr>
            <w:r>
              <w:rPr>
                <w:i/>
                <w:iCs/>
              </w:rPr>
              <w:t xml:space="preserve">&lt;limiar&gt;</w:t>
            </w:r>
          </w:p>
        </w:tc>
        <w:tc>
          <w:tcPr/>
          <w:p>
            <w:pPr>
              <w:pStyle w:val="Compact"/>
            </w:pPr>
            <w:r>
              <w:rPr>
                <w:i/>
                <w:iCs/>
              </w:rPr>
              <w:t xml:space="preserve">&lt;condições de bloqueio&gt;</w:t>
            </w:r>
          </w:p>
        </w:tc>
        <w:tc>
          <w:tcPr/>
          <w:p>
            <w:pPr>
              <w:pStyle w:val="Compact"/>
            </w:pPr>
            <w:r>
              <w:rPr>
                <w:i/>
                <w:iCs/>
              </w:rPr>
              <w:t xml:space="preserve">&lt;caminho de escalonamento&gt;</w:t>
            </w:r>
          </w:p>
        </w:tc>
      </w:tr>
      <w:tr>
        <w:tc>
          <w:tcPr/>
          <w:p>
            <w:pPr>
              <w:pStyle w:val="Compact"/>
            </w:pPr>
            <w:r>
              <w:rPr>
                <w:i/>
                <w:iCs/>
              </w:rPr>
              <w:t xml:space="preserve">&lt;ex.: Gastos da tesouraria — pequenos&gt;</w:t>
            </w:r>
          </w:p>
        </w:tc>
        <w:tc>
          <w:tcPr/>
          <w:p>
            <w:pPr>
              <w:pStyle w:val="Compact"/>
            </w:pPr>
            <w:r>
              <w:rPr>
                <w:i/>
                <w:iCs/>
              </w:rPr>
              <w:t xml:space="preserve">&lt;…&gt;</w:t>
            </w:r>
          </w:p>
        </w:tc>
        <w:tc>
          <w:tcPr/>
          <w:p>
            <w:pPr>
              <w:pStyle w:val="Compact"/>
            </w:pPr>
            <w:r>
              <w:rPr>
                <w:i/>
                <w:iCs/>
              </w:rPr>
              <w:t xml:space="preserve">&lt;…&gt;</w:t>
            </w:r>
          </w:p>
        </w:tc>
        <w:tc>
          <w:tcPr/>
          <w:p>
            <w:pPr>
              <w:pStyle w:val="Compact"/>
            </w:pPr>
            <w:r>
              <w:rPr>
                <w:i/>
                <w:iCs/>
              </w:rPr>
              <w:t xml:space="preserve">&lt;…&gt;</w:t>
            </w:r>
          </w:p>
        </w:tc>
        <w:tc>
          <w:tcPr/>
          <w:p>
            <w:pPr>
              <w:pStyle w:val="Compact"/>
            </w:pPr>
            <w:r>
              <w:rPr>
                <w:i/>
                <w:iCs/>
              </w:rPr>
              <w:t xml:space="preserve">&lt;…&gt;</w:t>
            </w:r>
          </w:p>
        </w:tc>
        <w:tc>
          <w:tcPr/>
          <w:p>
            <w:pPr>
              <w:pStyle w:val="Compact"/>
            </w:pPr>
            <w:r>
              <w:rPr>
                <w:i/>
                <w:iCs/>
              </w:rPr>
              <w:t xml:space="preserve">&lt;…&gt;</w:t>
            </w:r>
          </w:p>
        </w:tc>
        <w:tc>
          <w:tcPr/>
          <w:p>
            <w:pPr>
              <w:pStyle w:val="Compact"/>
            </w:pPr>
            <w:r>
              <w:rPr>
                <w:i/>
                <w:iCs/>
              </w:rPr>
              <w:t xml:space="preserve">&lt;…&gt;</w:t>
            </w:r>
          </w:p>
        </w:tc>
        <w:tc>
          <w:tcPr/>
          <w:p>
            <w:pPr>
              <w:pStyle w:val="Compact"/>
            </w:pPr>
            <w:r>
              <w:rPr>
                <w:i/>
                <w:iCs/>
              </w:rPr>
              <w:t xml:space="preserve">&lt;…&gt;</w:t>
            </w:r>
          </w:p>
        </w:tc>
      </w:tr>
      <w:tr>
        <w:tc>
          <w:tcPr/>
          <w:p>
            <w:pPr>
              <w:pStyle w:val="Compact"/>
            </w:pPr>
            <w:r>
              <w:rPr>
                <w:i/>
                <w:iCs/>
              </w:rPr>
              <w:t xml:space="preserve">&lt;ex.: Gastos da tesouraria — grandes&gt;</w:t>
            </w:r>
          </w:p>
        </w:tc>
        <w:tc>
          <w:tcPr/>
          <w:p>
            <w:pPr>
              <w:pStyle w:val="Compact"/>
            </w:pPr>
            <w:r>
              <w:rPr>
                <w:i/>
                <w:iCs/>
              </w:rPr>
              <w:t xml:space="preserve">&lt;…&gt;</w:t>
            </w:r>
          </w:p>
        </w:tc>
        <w:tc>
          <w:tcPr/>
          <w:p>
            <w:pPr>
              <w:pStyle w:val="Compact"/>
            </w:pPr>
            <w:r>
              <w:rPr>
                <w:i/>
                <w:iCs/>
              </w:rPr>
              <w:t xml:space="preserve">&lt;…&gt;</w:t>
            </w:r>
          </w:p>
        </w:tc>
        <w:tc>
          <w:tcPr/>
          <w:p>
            <w:pPr>
              <w:pStyle w:val="Compact"/>
            </w:pPr>
            <w:r>
              <w:rPr>
                <w:i/>
                <w:iCs/>
              </w:rPr>
              <w:t xml:space="preserve">&lt;…&gt;</w:t>
            </w:r>
          </w:p>
        </w:tc>
        <w:tc>
          <w:tcPr/>
          <w:p>
            <w:pPr>
              <w:pStyle w:val="Compact"/>
            </w:pPr>
            <w:r>
              <w:rPr>
                <w:i/>
                <w:iCs/>
              </w:rPr>
              <w:t xml:space="preserve">&lt;…&gt;</w:t>
            </w:r>
          </w:p>
        </w:tc>
        <w:tc>
          <w:tcPr/>
          <w:p>
            <w:pPr>
              <w:pStyle w:val="Compact"/>
            </w:pPr>
            <w:r>
              <w:rPr>
                <w:i/>
                <w:iCs/>
              </w:rPr>
              <w:t xml:space="preserve">&lt;…&gt;</w:t>
            </w:r>
          </w:p>
        </w:tc>
        <w:tc>
          <w:tcPr/>
          <w:p>
            <w:pPr>
              <w:pStyle w:val="Compact"/>
            </w:pPr>
            <w:r>
              <w:rPr>
                <w:i/>
                <w:iCs/>
              </w:rPr>
              <w:t xml:space="preserve">&lt;…&gt;</w:t>
            </w:r>
          </w:p>
        </w:tc>
        <w:tc>
          <w:tcPr/>
          <w:p>
            <w:pPr>
              <w:pStyle w:val="Compact"/>
            </w:pPr>
            <w:r>
              <w:rPr>
                <w:i/>
                <w:iCs/>
              </w:rPr>
              <w:t xml:space="preserve">&lt;…&gt;</w:t>
            </w:r>
          </w:p>
        </w:tc>
      </w:tr>
      <w:tr>
        <w:tc>
          <w:tcPr/>
          <w:p>
            <w:pPr>
              <w:pStyle w:val="Compact"/>
            </w:pPr>
            <w:r>
              <w:rPr>
                <w:i/>
                <w:iCs/>
              </w:rPr>
              <w:t xml:space="preserve">&lt;ex.: Mudanças nas regras de governança&gt;</w:t>
            </w:r>
          </w:p>
        </w:tc>
        <w:tc>
          <w:tcPr/>
          <w:p>
            <w:pPr>
              <w:pStyle w:val="Compact"/>
            </w:pPr>
            <w:r>
              <w:rPr>
                <w:i/>
                <w:iCs/>
              </w:rPr>
              <w:t xml:space="preserve">&lt;Constitucional&gt;</w:t>
            </w:r>
          </w:p>
        </w:tc>
        <w:tc>
          <w:tcPr/>
          <w:p>
            <w:pPr>
              <w:pStyle w:val="Compact"/>
            </w:pPr>
            <w:r>
              <w:rPr>
                <w:i/>
                <w:iCs/>
              </w:rPr>
              <w:t xml:space="preserve">&lt;…&gt;</w:t>
            </w:r>
          </w:p>
        </w:tc>
        <w:tc>
          <w:tcPr/>
          <w:p>
            <w:pPr>
              <w:pStyle w:val="Compact"/>
            </w:pPr>
            <w:r>
              <w:rPr>
                <w:i/>
                <w:iCs/>
              </w:rPr>
              <w:t xml:space="preserve">&lt;…&gt;</w:t>
            </w:r>
          </w:p>
        </w:tc>
        <w:tc>
          <w:tcPr/>
          <w:p>
            <w:pPr>
              <w:pStyle w:val="Compact"/>
            </w:pPr>
            <w:r>
              <w:rPr>
                <w:i/>
                <w:iCs/>
              </w:rPr>
              <w:t xml:space="preserve">&lt;…&gt;</w:t>
            </w:r>
          </w:p>
        </w:tc>
        <w:tc>
          <w:tcPr/>
          <w:p>
            <w:pPr>
              <w:pStyle w:val="Compact"/>
            </w:pPr>
            <w:r>
              <w:rPr>
                <w:i/>
                <w:iCs/>
              </w:rPr>
              <w:t xml:space="preserve">&lt;…&gt;</w:t>
            </w:r>
          </w:p>
        </w:tc>
        <w:tc>
          <w:tcPr/>
          <w:p>
            <w:pPr>
              <w:pStyle w:val="Compact"/>
            </w:pPr>
            <w:r>
              <w:rPr>
                <w:i/>
                <w:iCs/>
              </w:rPr>
              <w:t xml:space="preserve">&lt;…&gt;</w:t>
            </w:r>
          </w:p>
        </w:tc>
        <w:tc>
          <w:tcPr/>
          <w:p>
            <w:pPr>
              <w:pStyle w:val="Compact"/>
            </w:pPr>
            <w:r>
              <w:rPr>
                <w:i/>
                <w:iCs/>
              </w:rPr>
              <w:t xml:space="preserve">&lt;…&gt;</w:t>
            </w:r>
          </w:p>
        </w:tc>
      </w:tr>
      <w:tr>
        <w:tc>
          <w:tcPr/>
          <w:p>
            <w:pPr>
              <w:pStyle w:val="Compact"/>
            </w:pPr>
            <w:r>
              <w:rPr>
                <w:i/>
                <w:iCs/>
              </w:rPr>
              <w:t xml:space="preserve">&lt;ex.: Mudanças de propósito primário / invariantes&gt;</w:t>
            </w:r>
          </w:p>
        </w:tc>
        <w:tc>
          <w:tcPr/>
          <w:p>
            <w:pPr>
              <w:pStyle w:val="Compact"/>
            </w:pPr>
            <w:r>
              <w:rPr>
                <w:i/>
                <w:iCs/>
              </w:rPr>
              <w:t xml:space="preserve">&lt;Constitucional&gt;</w:t>
            </w:r>
          </w:p>
        </w:tc>
        <w:tc>
          <w:tcPr/>
          <w:p>
            <w:pPr>
              <w:pStyle w:val="Compact"/>
            </w:pPr>
            <w:r>
              <w:rPr>
                <w:i/>
                <w:iCs/>
              </w:rPr>
              <w:t xml:space="preserve">&lt;…&gt;</w:t>
            </w:r>
          </w:p>
        </w:tc>
        <w:tc>
          <w:tcPr/>
          <w:p>
            <w:pPr>
              <w:pStyle w:val="Compact"/>
            </w:pPr>
            <w:r>
              <w:rPr>
                <w:i/>
                <w:iCs/>
              </w:rPr>
              <w:t xml:space="preserve">&lt;…&gt;</w:t>
            </w:r>
          </w:p>
        </w:tc>
        <w:tc>
          <w:tcPr/>
          <w:p>
            <w:pPr>
              <w:pStyle w:val="Compact"/>
            </w:pPr>
            <w:r>
              <w:rPr>
                <w:i/>
                <w:iCs/>
              </w:rPr>
              <w:t xml:space="preserve">&lt;…&gt;</w:t>
            </w:r>
          </w:p>
        </w:tc>
        <w:tc>
          <w:tcPr/>
          <w:p>
            <w:pPr>
              <w:pStyle w:val="Compact"/>
            </w:pPr>
            <w:r>
              <w:rPr>
                <w:i/>
                <w:iCs/>
              </w:rPr>
              <w:t xml:space="preserve">&lt;…&gt;</w:t>
            </w:r>
          </w:p>
        </w:tc>
        <w:tc>
          <w:tcPr/>
          <w:p>
            <w:pPr>
              <w:pStyle w:val="Compact"/>
            </w:pPr>
            <w:r>
              <w:rPr>
                <w:i/>
                <w:iCs/>
              </w:rPr>
              <w:t xml:space="preserve">&lt;…&gt;</w:t>
            </w:r>
          </w:p>
        </w:tc>
        <w:tc>
          <w:tcPr/>
          <w:p>
            <w:pPr>
              <w:pStyle w:val="Compact"/>
            </w:pPr>
            <w:r>
              <w:rPr>
                <w:i/>
                <w:iCs/>
              </w:rPr>
              <w:t xml:space="preserve">&lt;…&gt;</w:t>
            </w:r>
          </w:p>
        </w:tc>
      </w:tr>
    </w:tbl>
    <w:p>
      <w:pPr>
        <w:pStyle w:val="BodyText"/>
      </w:pPr>
      <w:r>
        <w:t xml:space="preserve">&gt;</w:t>
      </w:r>
      <w:r>
        <w:t xml:space="preserve"> </w:t>
      </w:r>
      <w:r>
        <w:rPr>
          <w:b/>
          <w:bCs/>
        </w:rPr>
        <w:t xml:space="preserve">Detentores de papéis operacionais:</w:t>
      </w:r>
      <w:r>
        <w:t xml:space="preserve"> </w:t>
      </w:r>
      <w:r>
        <w:t xml:space="preserve">Cada decisão operacional é executada pelo detentor do papel nomeado responsável por aquele domínio, agindo dentro de seu escopo definido conforme o Registro de Papéis (Camada 5). Quando uma decisão abrange múltiplos domínios, cada detentor de papel age dentro de seu próprio escopo.</w:t>
      </w:r>
    </w:p>
    <w:bookmarkEnd w:id="18"/>
    <w:bookmarkStart w:id="20" w:name="definições-dos-tipos-de-decisão"/>
    <w:p>
      <w:pPr>
        <w:pStyle w:val="Heading2"/>
      </w:pPr>
      <w:r>
        <w:t xml:space="preserve">Definições dos Tipos de Decisão</w:t>
      </w:r>
    </w:p>
    <w:p>
      <w:pPr>
        <w:pStyle w:val="FirstParagraph"/>
      </w:pPr>
      <w:r>
        <w:rPr>
          <w:i/>
          <w:iCs/>
        </w:rPr>
        <w:t xml:space="preserve">Cláusulas RCOS:</w:t>
      </w:r>
      <w:r>
        <w:rPr>
          <w:i/>
          <w:iCs/>
        </w:rPr>
        <w:t xml:space="preserve"> </w:t>
      </w:r>
      <w:hyperlink r:id="rId19">
        <w:r>
          <w:rPr>
            <w:rStyle w:val="Hyperlink"/>
            <w:i/>
            <w:iCs/>
          </w:rPr>
          <w:t xml:space="preserve">4.1.1</w:t>
        </w:r>
      </w:hyperlink>
      <w:r>
        <w:rPr>
          <w:i/>
          <w:iCs/>
        </w:rPr>
        <w:t xml:space="preserve">,</w:t>
      </w:r>
      <w:r>
        <w:rPr>
          <w:i/>
          <w:iCs/>
        </w:rPr>
        <w:t xml:space="preserve"> </w:t>
      </w:r>
      <w:hyperlink r:id="rId19">
        <w:r>
          <w:rPr>
            <w:rStyle w:val="Hyperlink"/>
            <w:i/>
            <w:iCs/>
          </w:rPr>
          <w:t xml:space="preserve">4.1.2</w:t>
        </w:r>
      </w:hyperlink>
      <w:r>
        <w:rPr>
          <w:i/>
          <w:iCs/>
        </w:rPr>
        <w:t xml:space="preserve">,</w:t>
      </w:r>
      <w:r>
        <w:rPr>
          <w:i/>
          <w:iCs/>
        </w:rPr>
        <w:t xml:space="preserve"> </w:t>
      </w:r>
      <w:hyperlink r:id="rId19">
        <w:r>
          <w:rPr>
            <w:rStyle w:val="Hyperlink"/>
            <w:i/>
            <w:iCs/>
          </w:rPr>
          <w:t xml:space="preserve">4.1.3</w:t>
        </w:r>
      </w:hyperlink>
      <w:r>
        <w:rPr>
          <w:i/>
          <w:iCs/>
        </w:rPr>
        <w:t xml:space="preserve">,</w:t>
      </w:r>
      <w:r>
        <w:rPr>
          <w:i/>
          <w:iCs/>
        </w:rPr>
        <w:t xml:space="preserve"> </w:t>
      </w:r>
      <w:hyperlink r:id="rId19">
        <w:r>
          <w:rPr>
            <w:rStyle w:val="Hyperlink"/>
            <w:i/>
            <w:iCs/>
          </w:rPr>
          <w:t xml:space="preserve">4.1.4</w:t>
        </w:r>
      </w:hyperlink>
      <w:r>
        <w:rPr>
          <w:i/>
          <w:iCs/>
        </w:rPr>
        <w:t xml:space="preserve">,</w:t>
      </w:r>
      <w:r>
        <w:rPr>
          <w:i/>
          <w:iCs/>
        </w:rPr>
        <w:t xml:space="preserve"> </w:t>
      </w:r>
      <w:hyperlink r:id="rId19">
        <w:r>
          <w:rPr>
            <w:rStyle w:val="Hyperlink"/>
            <w:i/>
            <w:iCs/>
          </w:rPr>
          <w:t xml:space="preserve">4.1.5</w:t>
        </w:r>
      </w:hyperlink>
    </w:p>
    <w:p>
      <w:pPr>
        <w:pStyle w:val="BodyText"/>
      </w:pPr>
      <w:r>
        <w:t xml:space="preserve">&gt;</w:t>
      </w:r>
      <w:r>
        <w:t xml:space="preserve"> </w:t>
      </w:r>
      <w:r>
        <w:rPr>
          <w:b/>
          <w:bCs/>
        </w:rPr>
        <w:t xml:space="preserve">Justificativa — Por que classificar cada decisão</w:t>
      </w:r>
      <w:r>
        <w:t xml:space="preserve"> </w:t>
      </w:r>
      <w:r>
        <w:t xml:space="preserve">&gt;</w:t>
      </w:r>
      <w:r>
        <w:t xml:space="preserve"> </w:t>
      </w:r>
      <w:r>
        <w:t xml:space="preserve">&gt; Sem um tipo, cada decisão é tratada na velocidade e com o rigor que calhar no momento — mudanças rotineiras travam em debates, e mudanças constitucionais passam despercebidas. Tipos fixos vinculam o peso de uma decisão ao processo pelo qual ela precisa passar, e a regra do tipo-mais-alto-por-padrão fecha a brecha onde a ambiguidade seria explorada.</w:t>
      </w:r>
    </w:p>
    <w:p>
      <w:pPr>
        <w:pStyle w:val="BodyText"/>
      </w:pPr>
      <w:r>
        <w:t xml:space="preserve">&gt;</w:t>
      </w:r>
      <w:r>
        <w:t xml:space="preserve"> </w:t>
      </w:r>
      <w:r>
        <w:rPr>
          <w:b/>
          <w:bCs/>
        </w:rPr>
        <w:t xml:space="preserve">Instruções — Como preencher</w:t>
      </w:r>
      <w:r>
        <w:t xml:space="preserve"> </w:t>
      </w:r>
      <w:r>
        <w:t xml:space="preserve">&gt;</w:t>
      </w:r>
      <w:r>
        <w:t xml:space="preserve"> </w:t>
      </w:r>
      <w:r>
        <w:t xml:space="preserve">&gt; Defina cada tipo de decisão pelo que ele abrange, quem o executa, qual processo exige e como disputas sobre classificação são resolvidas.</w:t>
      </w:r>
    </w:p>
    <w:p>
      <w:pPr>
        <w:pStyle w:val="Compact"/>
        <w:numPr>
          <w:ilvl w:val="0"/>
          <w:numId w:val="1004"/>
        </w:numPr>
      </w:pPr>
      <w:r>
        <w:rPr>
          <w:b/>
          <w:bCs/>
        </w:rPr>
        <w:t xml:space="preserve">Operacional</w:t>
      </w:r>
      <w:r>
        <w:t xml:space="preserve"> </w:t>
      </w:r>
      <w:r>
        <w:t xml:space="preserve">—</w:t>
      </w:r>
      <w:r>
        <w:t xml:space="preserve"> </w:t>
      </w:r>
      <w:r>
        <w:rPr>
          <w:i/>
          <w:iCs/>
        </w:rPr>
        <w:t xml:space="preserve">&lt;funcionamento cotidiano dentro das regras existentes; executado pelo detentor do papel relevante sem votação.&gt;</w:t>
      </w:r>
    </w:p>
    <w:p>
      <w:pPr>
        <w:pStyle w:val="Compact"/>
        <w:numPr>
          <w:ilvl w:val="0"/>
          <w:numId w:val="1004"/>
        </w:numPr>
      </w:pPr>
      <w:r>
        <w:rPr>
          <w:b/>
          <w:bCs/>
        </w:rPr>
        <w:t xml:space="preserve">Estratégica</w:t>
      </w:r>
      <w:r>
        <w:t xml:space="preserve"> </w:t>
      </w:r>
      <w:r>
        <w:t xml:space="preserve">—</w:t>
      </w:r>
      <w:r>
        <w:t xml:space="preserve"> </w:t>
      </w:r>
      <w:r>
        <w:rPr>
          <w:i/>
          <w:iCs/>
        </w:rPr>
        <w:t xml:space="preserve">&lt;direção de longo prazo, alocação significativa de recursos, criação/remoção de estruturas importantes; requer votação dos Membros Plenos com um período de deliberação definido.&gt;</w:t>
      </w:r>
    </w:p>
    <w:p>
      <w:pPr>
        <w:pStyle w:val="Compact"/>
        <w:numPr>
          <w:ilvl w:val="0"/>
          <w:numId w:val="1004"/>
        </w:numPr>
      </w:pPr>
      <w:r>
        <w:rPr>
          <w:b/>
          <w:bCs/>
        </w:rPr>
        <w:t xml:space="preserve">Constitucional</w:t>
      </w:r>
      <w:r>
        <w:t xml:space="preserve"> </w:t>
      </w:r>
      <w:r>
        <w:t xml:space="preserve">—</w:t>
      </w:r>
      <w:r>
        <w:t xml:space="preserve"> </w:t>
      </w:r>
      <w:r>
        <w:rPr>
          <w:i/>
          <w:iCs/>
        </w:rPr>
        <w:t xml:space="preserve">&lt;mudanças na Camada 0 (propósito, escopo, invariantes) ou no próprio sistema de governança; requer votação dos Membros Plenos, supermaioria e um período de ratificação.&gt;</w:t>
      </w:r>
    </w:p>
    <w:p>
      <w:pPr>
        <w:pStyle w:val="FirstParagraph"/>
      </w:pPr>
      <w:r>
        <w:t xml:space="preserve">&gt; Se uma decisão não puder ser claramente classificada, ela é tratada por padrão como o tipo de maior impacto.</w:t>
      </w:r>
    </w:p>
    <w:p>
      <w:r>
        <w:pict>
          <v:rect style="width:0;height:1.5pt" o:hralign="center" o:hrstd="t" o:hr="t"/>
        </w:pict>
      </w:r>
    </w:p>
    <w:bookmarkEnd w:id="20"/>
    <w:bookmarkStart w:id="21" w:name="registro-de-ratificação"/>
    <w:p>
      <w:pPr>
        <w:pStyle w:val="Heading2"/>
      </w:pPr>
      <w:r>
        <w:t xml:space="preserve">Registro de Ratificação</w:t>
      </w:r>
    </w:p>
    <w:p>
      <w:pPr>
        <w:pStyle w:val="Compact"/>
        <w:numPr>
          <w:ilvl w:val="0"/>
          <w:numId w:val="1005"/>
        </w:numPr>
      </w:pPr>
      <w:r>
        <w:rPr>
          <w:b/>
          <w:bCs/>
        </w:rPr>
        <w:t xml:space="preserve">Adotado em:</w:t>
      </w:r>
      <w:r>
        <w:t xml:space="preserve"> </w:t>
      </w:r>
      <w:r>
        <w:t xml:space="preserve">&lt;AAAA-MM-DD&gt;</w:t>
      </w:r>
    </w:p>
    <w:p>
      <w:pPr>
        <w:pStyle w:val="Compact"/>
        <w:numPr>
          <w:ilvl w:val="0"/>
          <w:numId w:val="1005"/>
        </w:numPr>
      </w:pPr>
      <w:r>
        <w:rPr>
          <w:b/>
          <w:bCs/>
        </w:rPr>
        <w:t xml:space="preserve">Tipo de decisão:</w:t>
      </w:r>
      <w:r>
        <w:t xml:space="preserve"> </w:t>
      </w:r>
      <w:r>
        <w:t xml:space="preserve">Constitucional</w:t>
      </w:r>
    </w:p>
    <w:p>
      <w:pPr>
        <w:pStyle w:val="Compact"/>
        <w:numPr>
          <w:ilvl w:val="0"/>
          <w:numId w:val="1005"/>
        </w:numPr>
      </w:pPr>
      <w:r>
        <w:rPr>
          <w:b/>
          <w:bCs/>
        </w:rPr>
        <w:t xml:space="preserve">Versão:</w:t>
      </w:r>
      <w:r>
        <w:t xml:space="preserve"> </w:t>
      </w:r>
      <w:r>
        <w:t xml:space="preserve">&lt;versão&gt;</w:t>
      </w:r>
    </w:p>
    <w:p>
      <w:pPr>
        <w:pStyle w:val="Compact"/>
        <w:numPr>
          <w:ilvl w:val="0"/>
          <w:numId w:val="1005"/>
        </w:numPr>
      </w:pPr>
      <w:r>
        <w:rPr>
          <w:b/>
          <w:bCs/>
        </w:rPr>
        <w:t xml:space="preserve">Registro de decisão:</w:t>
      </w:r>
      <w:r>
        <w:t xml:space="preserve"> </w:t>
      </w:r>
      <w:r>
        <w:t xml:space="preserve">&lt;link para o registro de decisão&gt;</w:t>
      </w:r>
    </w:p>
    <w:bookmarkEnd w:id="21"/>
    <w:bookmarkEnd w:id="2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1"/>
  </w:num>
  <w:num w:numId="1005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image" Id="rId9" Target="media/rId9.png" /><Relationship Type="http://schemas.openxmlformats.org/officeDocument/2006/relationships/hyperlink" Id="rId19" Target="https://rcos.ecohubs.community/pt-br/articles/rcos-core/v0-1/layer-2-governance-decision-logic#41-decision-types" TargetMode="External" /><Relationship Type="http://schemas.openxmlformats.org/officeDocument/2006/relationships/hyperlink" Id="rId14" Target="https://rcos.ecohubs.community/pt-br/articles/rcos-core/v0-1/layer-2-governance-decision-logic#42-decision-mechanisms" TargetMode="External" /><Relationship Type="http://schemas.openxmlformats.org/officeDocument/2006/relationships/hyperlink" Id="rId15" Target="https://rcos.ecohubs.community/pt-br/articles/rcos-core/v0-1/layer-2-governance-decision-logic#44-decision-matrix" TargetMode="External" /><Relationship Type="http://schemas.openxmlformats.org/officeDocument/2006/relationships/hyperlink" Id="rId16" Target="https://rcos.ecohubs.community/pt-br/articles/rcos-core/v0-1/layer-2-governance-decision-logic#47-artifacts" TargetMode="External" /><Relationship Type="http://schemas.openxmlformats.org/officeDocument/2006/relationships/hyperlink" Id="rId13" Target="https://rcos.ecohubs.community/pt-br/articles/rcos-templates" TargetMode="External" /><Relationship Type="http://schemas.openxmlformats.org/officeDocument/2006/relationships/hyperlink" Id="rId12" Target="https://rcos.ecohubs.community/pt-br/articles/rcos-templates/layer-2/decision-matrix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19" Target="https://rcos.ecohubs.community/pt-br/articles/rcos-core/v0-1/layer-2-governance-decision-logic#41-decision-types" TargetMode="External" /><Relationship Type="http://schemas.openxmlformats.org/officeDocument/2006/relationships/hyperlink" Id="rId14" Target="https://rcos.ecohubs.community/pt-br/articles/rcos-core/v0-1/layer-2-governance-decision-logic#42-decision-mechanisms" TargetMode="External" /><Relationship Type="http://schemas.openxmlformats.org/officeDocument/2006/relationships/hyperlink" Id="rId15" Target="https://rcos.ecohubs.community/pt-br/articles/rcos-core/v0-1/layer-2-governance-decision-logic#44-decision-matrix" TargetMode="External" /><Relationship Type="http://schemas.openxmlformats.org/officeDocument/2006/relationships/hyperlink" Id="rId16" Target="https://rcos.ecohubs.community/pt-br/articles/rcos-core/v0-1/layer-2-governance-decision-logic#47-artifacts" TargetMode="External" /><Relationship Type="http://schemas.openxmlformats.org/officeDocument/2006/relationships/hyperlink" Id="rId13" Target="https://rcos.ecohubs.community/pt-br/articles/rcos-templates" TargetMode="External" /><Relationship Type="http://schemas.openxmlformats.org/officeDocument/2006/relationships/hyperlink" Id="rId12" Target="https://rcos.ecohubs.community/pt-br/articles/rcos-templates/layer-2/decision-matrix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2026-07-07T15:16:01Z</dcterms:created>
  <dcterms:modified xsi:type="dcterms:W3CDTF">2026-07-07T15:16:01Z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itle-meta">
    <vt:lpwstr>Matriz de Decisão</vt:lpwstr>
  </property>
</Properties>
</file>