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18" w:name="registro-de-autoridades"/>
    <w:p>
      <w:pPr>
        <w:pStyle w:val="Heading1"/>
      </w:pPr>
      <w:r>
        <w:t xml:space="preserve">Registro de Autoridades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https://rcos.ecohubs.community/pt-br/articles/rcos-templates/layer-2/authority-registry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2 — Governança e Lógica de Decisão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§4.3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§4.7</w:t>
        </w:r>
      </w:hyperlink>
    </w:p>
    <w:p>
      <w:pPr>
        <w:pStyle w:val="FirstParagraph"/>
      </w:pPr>
      <w:r>
        <w:t xml:space="preserve">&gt; Lista todos os papéis, círculos ou órgãos que detêm autoridade decisória, junto com seu escopo explícito, limites e duração.</w:t>
      </w:r>
    </w:p>
    <w:p>
      <w:r>
        <w:pict>
          <v:rect style="width:0;height:1.5pt" o:hralign="center" o:hrstd="t" o:hr="t"/>
        </w:pict>
      </w:r>
    </w:p>
    <w:bookmarkStart w:id="16" w:name="autoridades-registradas"/>
    <w:p>
      <w:pPr>
        <w:pStyle w:val="Heading2"/>
      </w:pPr>
      <w:r>
        <w:t xml:space="preserve">Autoridades Registradas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4.3.1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4.3.2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4.3.3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4.3.4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4.3.5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registrar cada autoridade por escrito</w:t>
      </w:r>
      <w:r>
        <w:t xml:space="preserve"> </w:t>
      </w:r>
      <w:r>
        <w:t xml:space="preserve">&gt;</w:t>
      </w:r>
      <w:r>
        <w:t xml:space="preserve"> </w:t>
      </w:r>
      <w:r>
        <w:t xml:space="preserve">&gt; A autoridade que não é registrada explicitamente acaba sendo preenchida por padrão — por quem está há mais tempo, fala mais alto ou controla as chaves. Um único registro que nomeia cada papel, delimita seu escopo, define seus limites e vincula sua base a um ato de delegação torna ações não autorizadas detectáveis e impede que a autoridade seja derivada de carisma, antiguidade ou propriedade.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papel, órgão ou círculo que detém autoridade, liste o escopo da autoridade, os limites rígidos, o mandato/duração e a base (estado de associação, ato de delegação, etc.). O conjunto coletivo de Membros Plenos é em si uma autoridade e pertence a esta tabela.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Papel / Órgão</w:t>
            </w:r>
          </w:p>
        </w:tc>
        <w:tc>
          <w:tcPr/>
          <w:p>
            <w:pPr>
              <w:pStyle w:val="Compact"/>
            </w:pPr>
            <w:r>
              <w:t xml:space="preserve">Escopo da autoridade</w:t>
            </w:r>
          </w:p>
        </w:tc>
        <w:tc>
          <w:tcPr/>
          <w:p>
            <w:pPr>
              <w:pStyle w:val="Compact"/>
            </w:pPr>
            <w:r>
              <w:t xml:space="preserve">Limites</w:t>
            </w:r>
          </w:p>
        </w:tc>
        <w:tc>
          <w:tcPr/>
          <w:p>
            <w:pPr>
              <w:pStyle w:val="Compact"/>
            </w:pPr>
            <w:r>
              <w:t xml:space="preserve">Mandato / Duração</w:t>
            </w:r>
          </w:p>
        </w:tc>
        <w:tc>
          <w:tcPr/>
          <w:p>
            <w:pPr>
              <w:pStyle w:val="Compact"/>
            </w:pPr>
            <w:r>
              <w:t xml:space="preserve">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Membros Plenos (coletivo)&gt;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&lt;escopo&gt;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&lt;limites — não pode anular invariantes; não pode agir fora da Matriz de Decisão&gt;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&lt;duração&gt;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&lt;base — estado de associação&gt;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Administrador de Associação&gt;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&lt;escopo&gt;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&lt;limites&gt;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&lt;duração&gt;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&lt;base — delegada pelos Membros Plenos&gt;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Responsável de Finanças&gt;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&lt;escopo&gt;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&lt;limites — teto de gastos&gt;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&lt;duração&gt;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&lt;base&gt;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</w:tbl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Impedimento por conflito de interesse:</w:t>
      </w:r>
      <w:r>
        <w:t xml:space="preserve"> </w:t>
      </w:r>
      <w:r>
        <w:t xml:space="preserve">Um detentor de papel não pode exercer sua autoridade delegada em qualquer decisão em que tenha interesse pessoal direto. Nesses casos, a decisão é escalada pelo processo de governança.</w:t>
      </w:r>
    </w:p>
    <w:p>
      <w:pPr>
        <w:pStyle w:val="BodyText"/>
      </w:pPr>
      <w:r>
        <w:t xml:space="preserve">&gt; A autoridade não deve ser derivada de carisma, antiguidade, propriedade ou influência informal.</w:t>
      </w:r>
      <w:r>
        <w:t xml:space="preserve"> </w:t>
      </w:r>
      <w:r>
        <w:t xml:space="preserve">&gt; Autoridade temporária ou de emergência deve ser explicitamente definida, limitada no tempo e sujeita a revisão.</w:t>
      </w:r>
    </w:p>
    <w:p>
      <w:r>
        <w:pict>
          <v:rect style="width:0;height:1.5pt" o:hralign="center" o:hrstd="t" o:hr="t"/>
        </w:pict>
      </w:r>
    </w:p>
    <w:bookmarkEnd w:id="16"/>
    <w:bookmarkStart w:id="17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Constitucional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Registro da decisão:</w:t>
      </w:r>
      <w:r>
        <w:t xml:space="preserve"> </w:t>
      </w:r>
      <w:r>
        <w:t xml:space="preserve">&lt;link para o registro da decisão&gt;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2-governance-decision-logic#43-authority-boundaries" TargetMode="External" /><Relationship Type="http://schemas.openxmlformats.org/officeDocument/2006/relationships/hyperlink" Id="rId15" Target="https://rcos.ecohubs.community/pt-br/articles/rcos-core/v0-1/layer-2-governance-decision-logic#47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2/authority-regist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2-governance-decision-logic#43-authority-boundaries" TargetMode="External" /><Relationship Type="http://schemas.openxmlformats.org/officeDocument/2006/relationships/hyperlink" Id="rId15" Target="https://rcos.ecohubs.community/pt-br/articles/rcos-core/v0-1/layer-2-governance-decision-logic#47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2/authority-regist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Registro de Autoridades</vt:lpwstr>
  </property>
</Properties>
</file>