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609600" cy="609600"/>
            <wp:effectExtent b="0" l="0" r="0" t="0"/>
            <wp:docPr descr="RCOS" title="" id="10" name="Picture"/>
            <a:graphic>
              <a:graphicData uri="http://schemas.openxmlformats.org/drawingml/2006/picture">
                <pic:pic>
                  <pic:nvPicPr>
                    <pic:cNvPr descr="/Users/el_stefano/Documents/Development/svelte/regenerative-community-blueprint/scripts/log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 xml:space="preserve">RCOS — Sistema Operacional de Comunidade Regenerativa</w:t>
      </w:r>
    </w:p>
    <w:bookmarkStart w:id="24" w:name="protocolo-de-integração"/>
    <w:p>
      <w:pPr>
        <w:pStyle w:val="Heading1"/>
      </w:pPr>
      <w:r>
        <w:t xml:space="preserve">Protocolo de Integração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Gerado em:</w:t>
      </w:r>
      <w:r>
        <w:t xml:space="preserve"> </w:t>
      </w:r>
      <w:r>
        <w:t xml:space="preserve">2026-07-07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(versão mais recente):</w:t>
      </w:r>
      <w:r>
        <w:t xml:space="preserve"> </w:t>
      </w:r>
      <w:hyperlink r:id="rId12">
        <w:r>
          <w:rPr>
            <w:rStyle w:val="Hyperlink"/>
          </w:rPr>
          <w:t xml:space="preserve">https://rcos.ecohubs.community/pt-br/articles/rcos-templates/layer-1/onboarding-protocol</w:t>
        </w:r>
      </w:hyperlink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Todos os modelos RCOS:</w:t>
      </w:r>
      <w:r>
        <w:t xml:space="preserve"> </w:t>
      </w:r>
      <w:hyperlink r:id="rId13">
        <w:r>
          <w:rPr>
            <w:rStyle w:val="Hyperlink"/>
          </w:rPr>
          <w:t xml:space="preserve">https://rcos.ecohubs.community/pt-br/articles/rcos-templates</w:t>
        </w:r>
      </w:hyperlink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Camada:</w:t>
      </w:r>
      <w:r>
        <w:t xml:space="preserve"> </w:t>
      </w:r>
      <w:r>
        <w:t xml:space="preserve">1 — Sistema de Associação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Modelo — adapte para sua comunidade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Referência RCOS:</w:t>
      </w:r>
      <w:r>
        <w:t xml:space="preserve"> </w:t>
      </w:r>
      <w:hyperlink r:id="rId14">
        <w:r>
          <w:rPr>
            <w:rStyle w:val="Hyperlink"/>
          </w:rPr>
          <w:t xml:space="preserve">§3.2</w:t>
        </w:r>
      </w:hyperlink>
      <w:r>
        <w:t xml:space="preserve">,</w:t>
      </w:r>
      <w:r>
        <w:t xml:space="preserve"> </w:t>
      </w:r>
      <w:hyperlink r:id="rId15">
        <w:r>
          <w:rPr>
            <w:rStyle w:val="Hyperlink"/>
          </w:rPr>
          <w:t xml:space="preserve">§3.3</w:t>
        </w:r>
      </w:hyperlink>
      <w:r>
        <w:t xml:space="preserve">,</w:t>
      </w:r>
      <w:r>
        <w:t xml:space="preserve"> </w:t>
      </w:r>
      <w:hyperlink r:id="rId16">
        <w:r>
          <w:rPr>
            <w:rStyle w:val="Hyperlink"/>
          </w:rPr>
          <w:t xml:space="preserve">§3.8</w:t>
        </w:r>
      </w:hyperlink>
    </w:p>
    <w:p>
      <w:r>
        <w:pict>
          <v:rect style="width:0;height:1.5pt" o:hralign="center" o:hrstd="t" o:hr="t"/>
        </w:pict>
      </w:r>
    </w:p>
    <w:bookmarkStart w:id="17" w:name="critérios-de-admissão"/>
    <w:p>
      <w:pPr>
        <w:pStyle w:val="Heading2"/>
      </w:pPr>
      <w:r>
        <w:t xml:space="preserve">Critérios de Admissão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3.2.3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3.2.4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escrever quem entra</w:t>
      </w:r>
      <w:r>
        <w:t xml:space="preserve"> </w:t>
      </w:r>
      <w:r>
        <w:t xml:space="preserve">&gt;</w:t>
      </w:r>
      <w:r>
        <w:t xml:space="preserve"> </w:t>
      </w:r>
      <w:r>
        <w:t xml:space="preserve">&gt; A admissão é o momento em que uma pessoa estranha passa a estar vinculada — e protegida — pelas regras da comunidade. Se os critérios forem informais, a decisão se reduz a quem por acaso simpatiza com a pessoa candidata. Critérios escritos tornam a admissão um ato de governança, não um favor social, e permitem que uma recusa seja defensável com base em fundamentos que a comunidade pode apontar.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Declare as condições explícitas sob as quais uma pessoa candidata pode ser admitida. Cada critério deve ser verificável a partir da própria candidatura ou de uma checagem externa.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&lt;Critério 1, ex. alinhamento com o propósito principal e com as restrições de identidade da Camada 0.&gt;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&lt;Critério 2, ex. disposição para contribuir ativamente em pelo menos uma categoria reconhecida.&gt;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&lt;Critério 3, ex. nenhuma saída forçada ou rejeição prévia nos últimos X meses.&gt;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&lt;Critério 4, ex. preenchimento do formulário de candidatura em boa-fé — sem informações falsas.&gt;</w:t>
      </w:r>
    </w:p>
    <w:bookmarkEnd w:id="17"/>
    <w:bookmarkStart w:id="18" w:name="etapas-de-integração"/>
    <w:p>
      <w:pPr>
        <w:pStyle w:val="Heading2"/>
      </w:pPr>
      <w:r>
        <w:t xml:space="preserve">Etapas de Integração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3.2.1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3.2.2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transformar o processo em uma sequência fixa</w:t>
      </w:r>
      <w:r>
        <w:t xml:space="preserve"> </w:t>
      </w:r>
      <w:r>
        <w:t xml:space="preserve">&gt;</w:t>
      </w:r>
      <w:r>
        <w:t xml:space="preserve"> </w:t>
      </w:r>
      <w:r>
        <w:t xml:space="preserve">&gt; O consentimento à governança só significa algo se a pessoa membro de fato conheceu a governança. Uma sequência fixa — revisão, consentimento, configuração técnica — garante que toda Pessoa Membro Plena cruzou o mesmo limiar na mesma ordem, de modo que ninguém entre nos direitos plenos sem ter encontrado as restrições que vêm junto com eles.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Liste as etapas ordenadas que toda pessoa nova membro DEVE completar para passar de candidata a Membro Pleno. Inclua etapas explícitas de consentimento e qualquer provisão de ferramentas/acessos necessária.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&lt;Etapa 1, ex. revisar todos os artefatos das Camadas 0–6 e este protocolo de integração.&gt;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&lt;Etapa 2, ex. consentir explicitamente com o Acordo de Associação e com as restrições de identidade da Camada 0.&gt;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&lt;Etapa 3, ex. configurar as ferramentas necessárias (carteira, contas, identidade).&gt;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&lt;Etapa 4, ex. entrar nos canais de comunicação exclusivos para membros.&gt;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&lt;Etapa 5, ex. receber as permissões necessárias para participar da governança.&gt;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&lt;Etapa 6, ex. conclusão da integração registrada — o estado de associação transita para Membro Pleno.&gt;</w:t>
      </w:r>
    </w:p>
    <w:bookmarkEnd w:id="18"/>
    <w:bookmarkStart w:id="20" w:name="estado-inicial-de-associação"/>
    <w:p>
      <w:pPr>
        <w:pStyle w:val="Heading2"/>
      </w:pPr>
      <w:r>
        <w:t xml:space="preserve">Estado Inicial de Associação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9">
        <w:r>
          <w:rPr>
            <w:rStyle w:val="Hyperlink"/>
            <w:i/>
            <w:iCs/>
          </w:rPr>
          <w:t xml:space="preserve">3.1.2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9">
        <w:r>
          <w:rPr>
            <w:rStyle w:val="Hyperlink"/>
            <w:i/>
            <w:iCs/>
          </w:rPr>
          <w:t xml:space="preserve">3.1.4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atribuir um estado ao final da integração</w:t>
      </w:r>
      <w:r>
        <w:t xml:space="preserve"> </w:t>
      </w:r>
      <w:r>
        <w:t xml:space="preserve">&gt;</w:t>
      </w:r>
      <w:r>
        <w:t xml:space="preserve"> </w:t>
      </w:r>
      <w:r>
        <w:t xml:space="preserve">&gt; Entre</w:t>
      </w:r>
      <w:r>
        <w:t xml:space="preserve"> </w:t>
      </w:r>
      <w:r>
        <w:t xml:space="preserve">“candidatura aprovada”</w:t>
      </w:r>
      <w:r>
        <w:t xml:space="preserve"> </w:t>
      </w:r>
      <w:r>
        <w:t xml:space="preserve">e</w:t>
      </w:r>
      <w:r>
        <w:t xml:space="preserve"> </w:t>
      </w:r>
      <w:r>
        <w:t xml:space="preserve">“totalmente integrada”</w:t>
      </w:r>
      <w:r>
        <w:t xml:space="preserve"> </w:t>
      </w:r>
      <w:r>
        <w:t xml:space="preserve">existe uma lacuna real — permissões, acesso e expectativas mudam. Declarar o estado exato que uma pessoa nova membro ocupa em cada etapa elimina a ambiguidade sobre o que ela pode fazer naquele momento, e evita concessões não intencionais de direitos antes que a integração esteja completa.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Declare os estados de associação pelos quais uma pessoa membro transita durante a integração e o que dispara cada transição. Faça referência ao Registro de Estados de Associação.</w:t>
      </w:r>
    </w:p>
    <w:p>
      <w:pPr>
        <w:pStyle w:val="Compact"/>
        <w:numPr>
          <w:ilvl w:val="0"/>
          <w:numId w:val="1005"/>
        </w:numPr>
      </w:pPr>
      <w:r>
        <w:t xml:space="preserve">Ao aprovar:</w:t>
      </w:r>
      <w:r>
        <w:t xml:space="preserve"> </w:t>
      </w:r>
      <w:r>
        <w:rPr>
          <w:i/>
          <w:iCs/>
        </w:rPr>
        <w:t xml:space="preserve">&lt;ex. Membro em Período de Experiência.&gt;</w:t>
      </w:r>
    </w:p>
    <w:p>
      <w:pPr>
        <w:pStyle w:val="Compact"/>
        <w:numPr>
          <w:ilvl w:val="0"/>
          <w:numId w:val="1005"/>
        </w:numPr>
      </w:pPr>
      <w:r>
        <w:t xml:space="preserve">Ao concluir a integração:</w:t>
      </w:r>
      <w:r>
        <w:t xml:space="preserve"> </w:t>
      </w:r>
      <w:r>
        <w:rPr>
          <w:i/>
          <w:iCs/>
        </w:rPr>
        <w:t xml:space="preserve">&lt;ex. Membro Pleno (automático ao concluir).&gt;</w:t>
      </w:r>
    </w:p>
    <w:bookmarkEnd w:id="20"/>
    <w:bookmarkStart w:id="21" w:name="período-de-experiência-e-avaliação"/>
    <w:p>
      <w:pPr>
        <w:pStyle w:val="Heading2"/>
      </w:pPr>
      <w:r>
        <w:t xml:space="preserve">Período de Experiência e Avaliação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3.3.1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3.3.2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3.3.3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3.3.4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limitar o período de experiência</w:t>
      </w:r>
      <w:r>
        <w:t xml:space="preserve"> </w:t>
      </w:r>
      <w:r>
        <w:t xml:space="preserve">&gt;</w:t>
      </w:r>
      <w:r>
        <w:t xml:space="preserve"> </w:t>
      </w:r>
      <w:r>
        <w:t xml:space="preserve">&gt; Um período de experiência sem prazo é uma associação de segunda classe que nunca termina — todas as obrigações, menos direitos. Fixar a duração, os critérios e o caminho de falha força um ponto de decisão: ou a pessoa nova membro transita para o status pleno ou uma saída definida é acionada. Isso impede que o estado de experiência se torne uma sala de espera permanente.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Defina a duração, os critérios de avaliação, a decisão de transição, o período de carência, o caminho de falha e quaisquer regras de prorrogação. Os direitos durante o período de experiência são definidos no Registro de Estados de Associação.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Duração:</w:t>
      </w:r>
      <w:r>
        <w:t xml:space="preserve"> </w:t>
      </w:r>
      <w:r>
        <w:rPr>
          <w:i/>
          <w:iCs/>
        </w:rPr>
        <w:t xml:space="preserve">&lt;ex. 30 dias a partir da aprovação.&gt;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Critérios de avaliação:</w:t>
      </w:r>
      <w:r>
        <w:t xml:space="preserve"> </w:t>
      </w:r>
      <w:r>
        <w:rPr>
          <w:i/>
          <w:iCs/>
        </w:rPr>
        <w:t xml:space="preserve">&lt;ex. todas as etapas de integração concluídas e registradas.&gt;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Decisão de transição:</w:t>
      </w:r>
      <w:r>
        <w:t xml:space="preserve"> </w:t>
      </w:r>
      <w:r>
        <w:rPr>
          <w:i/>
          <w:iCs/>
        </w:rPr>
        <w:t xml:space="preserve">&lt;ex. automática ao concluir; ou baseada em votação.&gt;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Período de carência:</w:t>
      </w:r>
      <w:r>
        <w:t xml:space="preserve"> </w:t>
      </w:r>
      <w:r>
        <w:rPr>
          <w:i/>
          <w:iCs/>
        </w:rPr>
        <w:t xml:space="preserve">&lt;ex. mais X dias se a integração não for concluída no prazo.&gt;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Falha em concluir:</w:t>
      </w:r>
      <w:r>
        <w:t xml:space="preserve"> </w:t>
      </w:r>
      <w:r>
        <w:rPr>
          <w:i/>
          <w:iCs/>
        </w:rPr>
        <w:t xml:space="preserve">&lt;ex. processo de saída acionado automaticamente após o término do período total.&gt;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Prorrogação:</w:t>
      </w:r>
      <w:r>
        <w:t xml:space="preserve"> </w:t>
      </w:r>
      <w:r>
        <w:rPr>
          <w:i/>
          <w:iCs/>
        </w:rPr>
        <w:t xml:space="preserve">&lt;ex. prorrogação única de X dias mediante solicitação.&gt;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Direitos durante o período de experiência:</w:t>
      </w:r>
      <w:r>
        <w:t xml:space="preserve"> </w:t>
      </w:r>
      <w:r>
        <w:rPr>
          <w:i/>
          <w:iCs/>
        </w:rPr>
        <w:t xml:space="preserve">&lt;faça referência ao Registro de Estados de Associação.&gt;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Bloqueio de nova candidatura:</w:t>
      </w:r>
      <w:r>
        <w:t xml:space="preserve"> </w:t>
      </w:r>
      <w:r>
        <w:rPr>
          <w:i/>
          <w:iCs/>
        </w:rPr>
        <w:t xml:space="preserve">&lt;ex. pessoas membros excluídas por integração incompleta NÃO PODEM se recandidatar por X meses.&gt;</w:t>
      </w:r>
    </w:p>
    <w:bookmarkEnd w:id="21"/>
    <w:bookmarkStart w:id="22" w:name="registro-de-conclusão"/>
    <w:p>
      <w:pPr>
        <w:pStyle w:val="Heading2"/>
      </w:pPr>
      <w:r>
        <w:t xml:space="preserve">Registro de Conclusão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6">
        <w:r>
          <w:rPr>
            <w:rStyle w:val="Hyperlink"/>
            <w:i/>
            <w:iCs/>
          </w:rPr>
          <w:t xml:space="preserve">3.8.2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manter o registro permanente</w:t>
      </w:r>
      <w:r>
        <w:t xml:space="preserve"> </w:t>
      </w:r>
      <w:r>
        <w:t xml:space="preserve">&gt;</w:t>
      </w:r>
      <w:r>
        <w:t xml:space="preserve"> </w:t>
      </w:r>
      <w:r>
        <w:t xml:space="preserve">&gt; O registro de conclusão é a evidência de que uma pessoa membro consentiu com uma versão específica das regras em uma data específica. Perdê-lo ou editá-lo tornaria impossível responder, meses ou anos depois,</w:t>
      </w:r>
      <w:r>
        <w:t xml:space="preserve"> </w:t>
      </w:r>
      <w:r>
        <w:t xml:space="preserve">“com o que exatamente ela concordou?”</w:t>
      </w:r>
      <w:r>
        <w:t xml:space="preserve"> </w:t>
      </w:r>
      <w:r>
        <w:t xml:space="preserve">— que é a única pergunta que importa quando surge uma disputa.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Declare onde o registro de conclusão é mantido, o que ele captura (carimbo de data/hora, versões dos artefatos consentidos) e a regra de retenção.</w:t>
      </w:r>
    </w:p>
    <w:p>
      <w:pPr>
        <w:pStyle w:val="BodyText"/>
      </w:pPr>
      <w:r>
        <w:rPr>
          <w:i/>
          <w:iCs/>
        </w:rPr>
        <w:t xml:space="preserve">&lt;Descrição do registro de conclusão da integração — onde fica, o que captura e que é retido permanentemente após a saída.&gt;</w:t>
      </w:r>
    </w:p>
    <w:p>
      <w:r>
        <w:pict>
          <v:rect style="width:0;height:1.5pt" o:hralign="center" o:hrstd="t" o:hr="t"/>
        </w:pict>
      </w:r>
    </w:p>
    <w:bookmarkEnd w:id="22"/>
    <w:bookmarkStart w:id="23" w:name="registro-de-ratificação"/>
    <w:p>
      <w:pPr>
        <w:pStyle w:val="Heading2"/>
      </w:pPr>
      <w:r>
        <w:t xml:space="preserve">Registro de Ratificação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Adotado em:</w:t>
      </w:r>
      <w:r>
        <w:t xml:space="preserve"> </w:t>
      </w:r>
      <w:r>
        <w:t xml:space="preserve">&lt;AAAA-MM-DD&gt;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Tipo de decisão:</w:t>
      </w:r>
      <w:r>
        <w:t xml:space="preserve"> </w:t>
      </w:r>
      <w:r>
        <w:t xml:space="preserve">Estratégica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Versão:</w:t>
      </w:r>
      <w:r>
        <w:t xml:space="preserve"> </w:t>
      </w:r>
      <w:r>
        <w:t xml:space="preserve">&lt;versão&gt;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Registro da decisão:</w:t>
      </w:r>
      <w:r>
        <w:t xml:space="preserve"> </w:t>
      </w:r>
      <w:r>
        <w:t xml:space="preserve">&lt;link para o registro da decisão&gt;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9" Target="https://rcos.ecohubs.community/pt-br/articles/rcos-core/v0-1/layer-1-membership-system#31-membership-states" TargetMode="External" /><Relationship Type="http://schemas.openxmlformats.org/officeDocument/2006/relationships/hyperlink" Id="rId14" Target="https://rcos.ecohubs.community/pt-br/articles/rcos-core/v0-1/layer-1-membership-system#32-entry-and-onboarding" TargetMode="External" /><Relationship Type="http://schemas.openxmlformats.org/officeDocument/2006/relationships/hyperlink" Id="rId15" Target="https://rcos.ecohubs.community/pt-br/articles/rcos-core/v0-1/layer-1-membership-system#33-trial-and-evaluation" TargetMode="External" /><Relationship Type="http://schemas.openxmlformats.org/officeDocument/2006/relationships/hyperlink" Id="rId16" Target="https://rcos.ecohubs.community/pt-br/articles/rcos-core/v0-1/layer-1-membership-system#38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1/onboarding-protoco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https://rcos.ecohubs.community/pt-br/articles/rcos-core/v0-1/layer-1-membership-system#31-membership-states" TargetMode="External" /><Relationship Type="http://schemas.openxmlformats.org/officeDocument/2006/relationships/hyperlink" Id="rId14" Target="https://rcos.ecohubs.community/pt-br/articles/rcos-core/v0-1/layer-1-membership-system#32-entry-and-onboarding" TargetMode="External" /><Relationship Type="http://schemas.openxmlformats.org/officeDocument/2006/relationships/hyperlink" Id="rId15" Target="https://rcos.ecohubs.community/pt-br/articles/rcos-core/v0-1/layer-1-membership-system#33-trial-and-evaluation" TargetMode="External" /><Relationship Type="http://schemas.openxmlformats.org/officeDocument/2006/relationships/hyperlink" Id="rId16" Target="https://rcos.ecohubs.community/pt-br/articles/rcos-core/v0-1/layer-1-membership-system#38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1/onboarding-protoco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2026-07-07T15:16:01Z</dcterms:created>
  <dcterms:modified xsi:type="dcterms:W3CDTF">2026-07-07T15:16:01Z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-meta">
    <vt:lpwstr>Protocolo de Integração</vt:lpwstr>
  </property>
</Properties>
</file>