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media/rId9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FirstParagraph"/>
      </w:pPr>
      <w:r>
        <w:drawing>
          <wp:inline>
            <wp:extent cx="609600" cy="609600"/>
            <wp:effectExtent b="0" l="0" r="0" t="0"/>
            <wp:docPr descr="RCOS" title="" id="10" name="Picture"/>
            <a:graphic>
              <a:graphicData uri="http://schemas.openxmlformats.org/drawingml/2006/picture">
                <pic:pic>
                  <pic:nvPicPr>
                    <pic:cNvPr descr="/Users/el_stefano/Documents/Development/svelte/regenerative-community-blueprint/scripts/logo.png" id="11" name="Picture"/>
                    <pic:cNvPicPr>
                      <a:picLocks noChangeArrowheads="1"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600" cy="6096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rPr>
          <w:b/>
          <w:bCs/>
        </w:rPr>
        <w:t xml:space="preserve">RCOS — Sistema Operacional de Comunidade Regenerativa</w:t>
      </w:r>
    </w:p>
    <w:bookmarkStart w:id="21" w:name="declaração-de-escopo"/>
    <w:p>
      <w:pPr>
        <w:pStyle w:val="Heading1"/>
      </w:pPr>
      <w:r>
        <w:t xml:space="preserve">Declaração de Escopo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Gerado em:</w:t>
      </w:r>
      <w:r>
        <w:t xml:space="preserve"> </w:t>
      </w:r>
      <w:r>
        <w:t xml:space="preserve">2026-07-07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Fonte (versão mais recente):</w:t>
      </w:r>
      <w:r>
        <w:t xml:space="preserve"> </w:t>
      </w:r>
      <w:hyperlink r:id="rId12">
        <w:r>
          <w:rPr>
            <w:rStyle w:val="Hyperlink"/>
          </w:rPr>
          <w:t xml:space="preserve">https://rcos.ecohubs.community/pt-br/articles/rcos-templates/layer-0/scope-declaration</w:t>
        </w:r>
      </w:hyperlink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Todos os modelos RCOS:</w:t>
      </w:r>
      <w:r>
        <w:t xml:space="preserve"> </w:t>
      </w:r>
      <w:hyperlink r:id="rId13">
        <w:r>
          <w:rPr>
            <w:rStyle w:val="Hyperlink"/>
          </w:rPr>
          <w:t xml:space="preserve">https://rcos.ecohubs.community/pt-br/articles/rcos-templates</w:t>
        </w:r>
      </w:hyperlink>
    </w:p>
    <w:p>
      <w:r>
        <w:pict>
          <v:rect style="width:0;height:1.5pt" o:hralign="center" o:hrstd="t" o:hr="t"/>
        </w:pict>
      </w:r>
    </w:p>
    <w:p>
      <w:pPr>
        <w:pStyle w:val="Compact"/>
        <w:numPr>
          <w:ilvl w:val="0"/>
          <w:numId w:val="1002"/>
        </w:numPr>
      </w:pPr>
      <w:r>
        <w:rPr>
          <w:b/>
          <w:bCs/>
        </w:rPr>
        <w:t xml:space="preserve">Camada:</w:t>
      </w:r>
      <w:r>
        <w:t xml:space="preserve"> </w:t>
      </w:r>
      <w:r>
        <w:t xml:space="preserve">0 — Identidade e Escopo</w:t>
      </w:r>
    </w:p>
    <w:p>
      <w:pPr>
        <w:pStyle w:val="Compact"/>
        <w:numPr>
          <w:ilvl w:val="0"/>
          <w:numId w:val="1002"/>
        </w:numPr>
      </w:pPr>
      <w:r>
        <w:rPr>
          <w:b/>
          <w:bCs/>
        </w:rPr>
        <w:t xml:space="preserve">Status:</w:t>
      </w:r>
      <w:r>
        <w:t xml:space="preserve"> </w:t>
      </w:r>
      <w:r>
        <w:t xml:space="preserve">Modelo — adapte para sua comunidade</w:t>
      </w:r>
    </w:p>
    <w:p>
      <w:pPr>
        <w:pStyle w:val="Compact"/>
        <w:numPr>
          <w:ilvl w:val="0"/>
          <w:numId w:val="1002"/>
        </w:numPr>
      </w:pPr>
      <w:r>
        <w:rPr>
          <w:b/>
          <w:bCs/>
        </w:rPr>
        <w:t xml:space="preserve">Referência RCOS:</w:t>
      </w:r>
      <w:r>
        <w:t xml:space="preserve"> </w:t>
      </w:r>
      <w:hyperlink r:id="rId14">
        <w:r>
          <w:rPr>
            <w:rStyle w:val="Hyperlink"/>
          </w:rPr>
          <w:t xml:space="preserve">§2.2</w:t>
        </w:r>
      </w:hyperlink>
      <w:r>
        <w:t xml:space="preserve">,</w:t>
      </w:r>
      <w:r>
        <w:t xml:space="preserve"> </w:t>
      </w:r>
      <w:hyperlink r:id="rId15">
        <w:r>
          <w:rPr>
            <w:rStyle w:val="Hyperlink"/>
          </w:rPr>
          <w:t xml:space="preserve">§2.5</w:t>
        </w:r>
      </w:hyperlink>
    </w:p>
    <w:p>
      <w:r>
        <w:pict>
          <v:rect style="width:0;height:1.5pt" o:hralign="center" o:hrstd="t" o:hr="t"/>
        </w:pict>
      </w:r>
    </w:p>
    <w:bookmarkStart w:id="16" w:name="ativos-dentro-do-escopo"/>
    <w:p>
      <w:pPr>
        <w:pStyle w:val="Heading2"/>
      </w:pPr>
      <w:r>
        <w:t xml:space="preserve">Ativos Dentro do Escopo</w:t>
      </w:r>
    </w:p>
    <w:p>
      <w:pPr>
        <w:pStyle w:val="FirstParagraph"/>
      </w:pPr>
      <w:r>
        <w:rPr>
          <w:i/>
          <w:iCs/>
        </w:rPr>
        <w:t xml:space="preserve">Cláusulas RCOS:</w:t>
      </w:r>
      <w:r>
        <w:rPr>
          <w:i/>
          <w:iCs/>
        </w:rPr>
        <w:t xml:space="preserve"> </w:t>
      </w:r>
      <w:hyperlink r:id="rId14">
        <w:r>
          <w:rPr>
            <w:rStyle w:val="Hyperlink"/>
            <w:i/>
            <w:iCs/>
          </w:rPr>
          <w:t xml:space="preserve">2.2.1</w:t>
        </w:r>
      </w:hyperlink>
      <w:r>
        <w:rPr>
          <w:i/>
          <w:iCs/>
        </w:rPr>
        <w:t xml:space="preserve">,</w:t>
      </w:r>
      <w:r>
        <w:rPr>
          <w:i/>
          <w:iCs/>
        </w:rPr>
        <w:t xml:space="preserve"> </w:t>
      </w:r>
      <w:hyperlink r:id="rId14">
        <w:r>
          <w:rPr>
            <w:rStyle w:val="Hyperlink"/>
            <w:i/>
            <w:iCs/>
          </w:rPr>
          <w:t xml:space="preserve">2.2.2</w:t>
        </w:r>
      </w:hyperlink>
      <w:r>
        <w:rPr>
          <w:i/>
          <w:iCs/>
        </w:rPr>
        <w:t xml:space="preserve">,</w:t>
      </w:r>
      <w:r>
        <w:rPr>
          <w:i/>
          <w:iCs/>
        </w:rPr>
        <w:t xml:space="preserve"> </w:t>
      </w:r>
      <w:hyperlink r:id="rId14">
        <w:r>
          <w:rPr>
            <w:rStyle w:val="Hyperlink"/>
            <w:i/>
            <w:iCs/>
          </w:rPr>
          <w:t xml:space="preserve">2.2.4</w:t>
        </w:r>
      </w:hyperlink>
    </w:p>
    <w:p>
      <w:pPr>
        <w:pStyle w:val="BodyText"/>
      </w:pPr>
      <w:r>
        <w:t xml:space="preserve">&gt;</w:t>
      </w:r>
      <w:r>
        <w:t xml:space="preserve"> </w:t>
      </w:r>
      <w:r>
        <w:rPr>
          <w:b/>
          <w:bCs/>
        </w:rPr>
        <w:t xml:space="preserve">Justificativa — Por que enumerar cada ativo governado</w:t>
      </w:r>
      <w:r>
        <w:t xml:space="preserve"> </w:t>
      </w:r>
      <w:r>
        <w:t xml:space="preserve">&gt;</w:t>
      </w:r>
      <w:r>
        <w:t xml:space="preserve"> </w:t>
      </w:r>
      <w:r>
        <w:t xml:space="preserve">&gt; Se a comunidade não nomeou explicitamente um ativo como dentro do escopo, ele não está — ponto final. Listar os ativos pelo nome fecha a brecha onde reivindicações informais de autoridade crescem sobre recursos não declarados, e oferece aos membros uma lista concreta para verificar o que a comunidade de fato controla.</w:t>
      </w:r>
    </w:p>
    <w:p>
      <w:pPr>
        <w:pStyle w:val="BodyText"/>
      </w:pPr>
      <w:r>
        <w:t xml:space="preserve">&gt;</w:t>
      </w:r>
      <w:r>
        <w:t xml:space="preserve"> </w:t>
      </w:r>
      <w:r>
        <w:rPr>
          <w:b/>
          <w:bCs/>
        </w:rPr>
        <w:t xml:space="preserve">Instruções — Como preencher</w:t>
      </w:r>
      <w:r>
        <w:t xml:space="preserve"> </w:t>
      </w:r>
      <w:r>
        <w:t xml:space="preserve">&gt;</w:t>
      </w:r>
      <w:r>
        <w:t xml:space="preserve"> </w:t>
      </w:r>
      <w:r>
        <w:t xml:space="preserve">&gt; Liste todos os ativos que a comunidade governa coletivamente: fundos compartilhados, tesourarias, terras, imóveis, software, sites, contas em redes sociais, marca, propriedade intelectual, infraestrutura física, etc. Seja específico — nomeie contas, carteiras, domínios.</w:t>
      </w:r>
    </w:p>
    <w:p>
      <w:pPr>
        <w:pStyle w:val="Compact"/>
        <w:numPr>
          <w:ilvl w:val="0"/>
          <w:numId w:val="1003"/>
        </w:numPr>
      </w:pPr>
      <w:r>
        <w:rPr>
          <w:i/>
          <w:iCs/>
        </w:rPr>
        <w:t xml:space="preserve">&lt;Ativo 1, ex.: a tesouraria compartilhada mantida em uma carteira multi-sig específica.&gt;</w:t>
      </w:r>
    </w:p>
    <w:p>
      <w:pPr>
        <w:pStyle w:val="Compact"/>
        <w:numPr>
          <w:ilvl w:val="0"/>
          <w:numId w:val="1003"/>
        </w:numPr>
      </w:pPr>
      <w:r>
        <w:rPr>
          <w:i/>
          <w:iCs/>
        </w:rPr>
        <w:t xml:space="preserve">&lt;Ativo 2, ex.: o site da comunidade e seu domínio.&gt;</w:t>
      </w:r>
    </w:p>
    <w:p>
      <w:pPr>
        <w:pStyle w:val="Compact"/>
        <w:numPr>
          <w:ilvl w:val="0"/>
          <w:numId w:val="1003"/>
        </w:numPr>
      </w:pPr>
      <w:r>
        <w:rPr>
          <w:i/>
          <w:iCs/>
        </w:rPr>
        <w:t xml:space="preserve">&lt;Ativo 3, ex.: infraestrutura física ou terras compartilhadas.&gt;</w:t>
      </w:r>
    </w:p>
    <w:p>
      <w:pPr>
        <w:pStyle w:val="Compact"/>
        <w:numPr>
          <w:ilvl w:val="0"/>
          <w:numId w:val="1003"/>
        </w:numPr>
      </w:pPr>
      <w:r>
        <w:rPr>
          <w:i/>
          <w:iCs/>
        </w:rPr>
        <w:t xml:space="preserve">&lt;Ativo 4.&gt;</w:t>
      </w:r>
    </w:p>
    <w:bookmarkEnd w:id="16"/>
    <w:bookmarkStart w:id="17" w:name="domínios-de-decisão-dentro-do-escopo"/>
    <w:p>
      <w:pPr>
        <w:pStyle w:val="Heading2"/>
      </w:pPr>
      <w:r>
        <w:t xml:space="preserve">Domínios de Decisão Dentro do Escopo</w:t>
      </w:r>
    </w:p>
    <w:p>
      <w:pPr>
        <w:pStyle w:val="FirstParagraph"/>
      </w:pPr>
      <w:r>
        <w:rPr>
          <w:i/>
          <w:iCs/>
        </w:rPr>
        <w:t xml:space="preserve">Cláusulas RCOS:</w:t>
      </w:r>
      <w:r>
        <w:rPr>
          <w:i/>
          <w:iCs/>
        </w:rPr>
        <w:t xml:space="preserve"> </w:t>
      </w:r>
      <w:hyperlink r:id="rId14">
        <w:r>
          <w:rPr>
            <w:rStyle w:val="Hyperlink"/>
            <w:i/>
            <w:iCs/>
          </w:rPr>
          <w:t xml:space="preserve">2.2.1</w:t>
        </w:r>
      </w:hyperlink>
      <w:r>
        <w:rPr>
          <w:i/>
          <w:iCs/>
        </w:rPr>
        <w:t xml:space="preserve">,</w:t>
      </w:r>
      <w:r>
        <w:rPr>
          <w:i/>
          <w:iCs/>
        </w:rPr>
        <w:t xml:space="preserve"> </w:t>
      </w:r>
      <w:hyperlink r:id="rId14">
        <w:r>
          <w:rPr>
            <w:rStyle w:val="Hyperlink"/>
            <w:i/>
            <w:iCs/>
          </w:rPr>
          <w:t xml:space="preserve">2.2.2</w:t>
        </w:r>
      </w:hyperlink>
    </w:p>
    <w:p>
      <w:pPr>
        <w:pStyle w:val="BodyText"/>
      </w:pPr>
      <w:r>
        <w:t xml:space="preserve">&gt;</w:t>
      </w:r>
      <w:r>
        <w:t xml:space="preserve"> </w:t>
      </w:r>
      <w:r>
        <w:rPr>
          <w:b/>
          <w:bCs/>
        </w:rPr>
        <w:t xml:space="preserve">Justificativa — Por que nomear domínios de decisão, e não apenas ativos</w:t>
      </w:r>
      <w:r>
        <w:t xml:space="preserve"> </w:t>
      </w:r>
      <w:r>
        <w:t xml:space="preserve">&gt;</w:t>
      </w:r>
      <w:r>
        <w:t xml:space="preserve"> </w:t>
      </w:r>
      <w:r>
        <w:t xml:space="preserve">&gt; Escopo não é só sobre coisas — é sobre quais tipos de perguntas a comunidade tem direito de responder coletivamente. Nomear os domínios de decisão deixa inequívoco onde a autoridade coletiva se aplica e onde um indivíduo ou parte externa ainda decide, evitando a captura silenciosa de território decisório.</w:t>
      </w:r>
    </w:p>
    <w:p>
      <w:pPr>
        <w:pStyle w:val="BodyText"/>
      </w:pPr>
      <w:r>
        <w:t xml:space="preserve">&gt;</w:t>
      </w:r>
      <w:r>
        <w:t xml:space="preserve"> </w:t>
      </w:r>
      <w:r>
        <w:rPr>
          <w:b/>
          <w:bCs/>
        </w:rPr>
        <w:t xml:space="preserve">Instruções — Como preencher</w:t>
      </w:r>
      <w:r>
        <w:t xml:space="preserve"> </w:t>
      </w:r>
      <w:r>
        <w:t xml:space="preserve">&gt;</w:t>
      </w:r>
      <w:r>
        <w:t xml:space="preserve"> </w:t>
      </w:r>
      <w:r>
        <w:t xml:space="preserve">&gt; Liste as categorias de decisões sobre as quais a comunidade tem autoridade. Estas se conectam às camadas posteriores (governança, associação, tesouraria, etc.) — nomeie-as em um nível que deixe claro quais tipos de perguntas a comunidade decide em conjunto.</w:t>
      </w:r>
    </w:p>
    <w:p>
      <w:pPr>
        <w:pStyle w:val="Compact"/>
        <w:numPr>
          <w:ilvl w:val="0"/>
          <w:numId w:val="1004"/>
        </w:numPr>
      </w:pPr>
      <w:r>
        <w:rPr>
          <w:i/>
          <w:iCs/>
        </w:rPr>
        <w:t xml:space="preserve">&lt;Domínio de decisão 1, ex.: regras de governança e processos de decisão (Camada 2).&gt;</w:t>
      </w:r>
    </w:p>
    <w:p>
      <w:pPr>
        <w:pStyle w:val="Compact"/>
        <w:numPr>
          <w:ilvl w:val="0"/>
          <w:numId w:val="1004"/>
        </w:numPr>
      </w:pPr>
      <w:r>
        <w:rPr>
          <w:i/>
          <w:iCs/>
        </w:rPr>
        <w:t xml:space="preserve">&lt;Domínio de decisão 2, ex.: regras de associação e admissão (Camada 1).&gt;</w:t>
      </w:r>
    </w:p>
    <w:p>
      <w:pPr>
        <w:pStyle w:val="Compact"/>
        <w:numPr>
          <w:ilvl w:val="0"/>
          <w:numId w:val="1004"/>
        </w:numPr>
      </w:pPr>
      <w:r>
        <w:rPr>
          <w:i/>
          <w:iCs/>
        </w:rPr>
        <w:t xml:space="preserve">&lt;Domínio de decisão 3, ex.: tesouraria e alocação de recursos compartilhados (Camada 3).&gt;</w:t>
      </w:r>
    </w:p>
    <w:p>
      <w:pPr>
        <w:pStyle w:val="Compact"/>
        <w:numPr>
          <w:ilvl w:val="0"/>
          <w:numId w:val="1004"/>
        </w:numPr>
      </w:pPr>
      <w:r>
        <w:rPr>
          <w:i/>
          <w:iCs/>
        </w:rPr>
        <w:t xml:space="preserve">&lt;Domínio de decisão 4.&gt;</w:t>
      </w:r>
    </w:p>
    <w:bookmarkEnd w:id="17"/>
    <w:bookmarkStart w:id="18" w:name="X179a7f8843f0ef2444c8b09de16760d43fc19cd"/>
    <w:p>
      <w:pPr>
        <w:pStyle w:val="Heading2"/>
      </w:pPr>
      <w:r>
        <w:t xml:space="preserve">Atividades e Responsabilidades Dentro do Escopo</w:t>
      </w:r>
    </w:p>
    <w:p>
      <w:pPr>
        <w:pStyle w:val="FirstParagraph"/>
      </w:pPr>
      <w:r>
        <w:rPr>
          <w:i/>
          <w:iCs/>
        </w:rPr>
        <w:t xml:space="preserve">Cláusulas RCOS:</w:t>
      </w:r>
      <w:r>
        <w:rPr>
          <w:i/>
          <w:iCs/>
        </w:rPr>
        <w:t xml:space="preserve"> </w:t>
      </w:r>
      <w:hyperlink r:id="rId14">
        <w:r>
          <w:rPr>
            <w:rStyle w:val="Hyperlink"/>
            <w:i/>
            <w:iCs/>
          </w:rPr>
          <w:t xml:space="preserve">2.2.1</w:t>
        </w:r>
      </w:hyperlink>
      <w:r>
        <w:rPr>
          <w:i/>
          <w:iCs/>
        </w:rPr>
        <w:t xml:space="preserve">,</w:t>
      </w:r>
      <w:r>
        <w:rPr>
          <w:i/>
          <w:iCs/>
        </w:rPr>
        <w:t xml:space="preserve"> </w:t>
      </w:r>
      <w:hyperlink r:id="rId14">
        <w:r>
          <w:rPr>
            <w:rStyle w:val="Hyperlink"/>
            <w:i/>
            <w:iCs/>
          </w:rPr>
          <w:t xml:space="preserve">2.2.2</w:t>
        </w:r>
      </w:hyperlink>
    </w:p>
    <w:p>
      <w:pPr>
        <w:pStyle w:val="BodyText"/>
      </w:pPr>
      <w:r>
        <w:t xml:space="preserve">&gt;</w:t>
      </w:r>
      <w:r>
        <w:t xml:space="preserve"> </w:t>
      </w:r>
      <w:r>
        <w:rPr>
          <w:b/>
          <w:bCs/>
        </w:rPr>
        <w:t xml:space="preserve">Justificativa — Por que declarar o trabalho que a comunidade assume</w:t>
      </w:r>
      <w:r>
        <w:t xml:space="preserve"> </w:t>
      </w:r>
      <w:r>
        <w:t xml:space="preserve">&gt;</w:t>
      </w:r>
      <w:r>
        <w:t xml:space="preserve"> </w:t>
      </w:r>
      <w:r>
        <w:t xml:space="preserve">&gt; Autoridade sem responsabilidade assumida produz paralisia; responsabilidade sem autoridade declarada produz esgotamento e culpabilização. Listar as atividades que a comunidade governa coletivamente torna o trabalho visível, atribuível e responsabilizável — e deixa óbvio quando algo importante não tem dono.</w:t>
      </w:r>
    </w:p>
    <w:p>
      <w:pPr>
        <w:pStyle w:val="BodyText"/>
      </w:pPr>
      <w:r>
        <w:t xml:space="preserve">&gt;</w:t>
      </w:r>
      <w:r>
        <w:t xml:space="preserve"> </w:t>
      </w:r>
      <w:r>
        <w:rPr>
          <w:b/>
          <w:bCs/>
        </w:rPr>
        <w:t xml:space="preserve">Instruções — Como preencher</w:t>
      </w:r>
      <w:r>
        <w:t xml:space="preserve"> </w:t>
      </w:r>
      <w:r>
        <w:t xml:space="preserve">&gt;</w:t>
      </w:r>
      <w:r>
        <w:t xml:space="preserve"> </w:t>
      </w:r>
      <w:r>
        <w:t xml:space="preserve">&gt; Liste as atividades contínuas pelas quais a comunidade é responsável: manter a infraestrutura compartilhada, admitir membros, prestar contas sobre recursos, cuidar da marca, etc. Estas são as coisas que precisam de um dono via Camada 5.</w:t>
      </w:r>
    </w:p>
    <w:p>
      <w:pPr>
        <w:pStyle w:val="Compact"/>
        <w:numPr>
          <w:ilvl w:val="0"/>
          <w:numId w:val="1005"/>
        </w:numPr>
      </w:pPr>
      <w:r>
        <w:rPr>
          <w:i/>
          <w:iCs/>
        </w:rPr>
        <w:t xml:space="preserve">&lt;Atividade 1.&gt;</w:t>
      </w:r>
    </w:p>
    <w:p>
      <w:pPr>
        <w:pStyle w:val="Compact"/>
        <w:numPr>
          <w:ilvl w:val="0"/>
          <w:numId w:val="1005"/>
        </w:numPr>
      </w:pPr>
      <w:r>
        <w:rPr>
          <w:i/>
          <w:iCs/>
        </w:rPr>
        <w:t xml:space="preserve">&lt;Atividade 2.&gt;</w:t>
      </w:r>
    </w:p>
    <w:p>
      <w:pPr>
        <w:pStyle w:val="Compact"/>
        <w:numPr>
          <w:ilvl w:val="0"/>
          <w:numId w:val="1005"/>
        </w:numPr>
      </w:pPr>
      <w:r>
        <w:rPr>
          <w:i/>
          <w:iCs/>
        </w:rPr>
        <w:t xml:space="preserve">&lt;Atividade 3.&gt;</w:t>
      </w:r>
    </w:p>
    <w:p>
      <w:pPr>
        <w:pStyle w:val="Compact"/>
        <w:numPr>
          <w:ilvl w:val="0"/>
          <w:numId w:val="1005"/>
        </w:numPr>
      </w:pPr>
      <w:r>
        <w:rPr>
          <w:i/>
          <w:iCs/>
        </w:rPr>
        <w:t xml:space="preserve">&lt;Atividade 4.&gt;</w:t>
      </w:r>
    </w:p>
    <w:bookmarkEnd w:id="18"/>
    <w:bookmarkStart w:id="19" w:name="explicitamente-fora-do-escopo"/>
    <w:p>
      <w:pPr>
        <w:pStyle w:val="Heading2"/>
      </w:pPr>
      <w:r>
        <w:t xml:space="preserve">Explicitamente Fora do Escopo</w:t>
      </w:r>
    </w:p>
    <w:p>
      <w:pPr>
        <w:pStyle w:val="FirstParagraph"/>
      </w:pPr>
      <w:r>
        <w:rPr>
          <w:i/>
          <w:iCs/>
        </w:rPr>
        <w:t xml:space="preserve">Cláusulas RCOS:</w:t>
      </w:r>
      <w:r>
        <w:rPr>
          <w:i/>
          <w:iCs/>
        </w:rPr>
        <w:t xml:space="preserve"> </w:t>
      </w:r>
      <w:hyperlink r:id="rId14">
        <w:r>
          <w:rPr>
            <w:rStyle w:val="Hyperlink"/>
            <w:i/>
            <w:iCs/>
          </w:rPr>
          <w:t xml:space="preserve">2.2.3</w:t>
        </w:r>
      </w:hyperlink>
      <w:r>
        <w:rPr>
          <w:i/>
          <w:iCs/>
        </w:rPr>
        <w:t xml:space="preserve">,</w:t>
      </w:r>
      <w:r>
        <w:rPr>
          <w:i/>
          <w:iCs/>
        </w:rPr>
        <w:t xml:space="preserve"> </w:t>
      </w:r>
      <w:hyperlink r:id="rId14">
        <w:r>
          <w:rPr>
            <w:rStyle w:val="Hyperlink"/>
            <w:i/>
            <w:iCs/>
          </w:rPr>
          <w:t xml:space="preserve">2.2.4</w:t>
        </w:r>
      </w:hyperlink>
      <w:r>
        <w:rPr>
          <w:i/>
          <w:iCs/>
        </w:rPr>
        <w:t xml:space="preserve">,</w:t>
      </w:r>
      <w:r>
        <w:rPr>
          <w:i/>
          <w:iCs/>
        </w:rPr>
        <w:t xml:space="preserve"> </w:t>
      </w:r>
      <w:hyperlink r:id="rId14">
        <w:r>
          <w:rPr>
            <w:rStyle w:val="Hyperlink"/>
            <w:i/>
            <w:iCs/>
          </w:rPr>
          <w:t xml:space="preserve">2.2.5</w:t>
        </w:r>
      </w:hyperlink>
    </w:p>
    <w:p>
      <w:pPr>
        <w:pStyle w:val="BodyText"/>
      </w:pPr>
      <w:r>
        <w:t xml:space="preserve">&gt;</w:t>
      </w:r>
      <w:r>
        <w:t xml:space="preserve"> </w:t>
      </w:r>
      <w:r>
        <w:rPr>
          <w:b/>
          <w:bCs/>
        </w:rPr>
        <w:t xml:space="preserve">Justificativa — Por que nomear o que a comunidade não pode tocar</w:t>
      </w:r>
      <w:r>
        <w:t xml:space="preserve"> </w:t>
      </w:r>
      <w:r>
        <w:t xml:space="preserve">&gt;</w:t>
      </w:r>
      <w:r>
        <w:t xml:space="preserve"> </w:t>
      </w:r>
      <w:r>
        <w:t xml:space="preserve">&gt; Um limite não declarado não é limite nenhum. Itens explicitamente fora do escopo protegem os membros de a comunidade invadir suas vidas privadas e finanças, e protegem partes externas de a comunidade presumir autoridade sobre seus assuntos. Se algo não é nomeado aqui, a regra padrão de</w:t>
      </w:r>
      <w:r>
        <w:t xml:space="preserve"> </w:t>
      </w:r>
      <w:r>
        <w:t xml:space="preserve">“não estar dentro do escopo significa estar fora do escopo”</w:t>
      </w:r>
      <w:r>
        <w:t xml:space="preserve"> </w:t>
      </w:r>
      <w:r>
        <w:t xml:space="preserve">continua valendo — mas nomear os mais importantes elimina qualquer margem para discussão.</w:t>
      </w:r>
    </w:p>
    <w:p>
      <w:pPr>
        <w:pStyle w:val="BodyText"/>
      </w:pPr>
      <w:r>
        <w:t xml:space="preserve">&gt;</w:t>
      </w:r>
      <w:r>
        <w:t xml:space="preserve"> </w:t>
      </w:r>
      <w:r>
        <w:rPr>
          <w:b/>
          <w:bCs/>
        </w:rPr>
        <w:t xml:space="preserve">Instruções — Como preencher</w:t>
      </w:r>
      <w:r>
        <w:t xml:space="preserve"> </w:t>
      </w:r>
      <w:r>
        <w:t xml:space="preserve">&gt;</w:t>
      </w:r>
      <w:r>
        <w:t xml:space="preserve"> </w:t>
      </w:r>
      <w:r>
        <w:t xml:space="preserve">&gt; Liste os limites mais importantes: coisas que as pessoas podem supor estar dentro do escopo mas não estão. Finanças pessoais, relacionamentos privados, infraestrutura de terceiros, projetos externos, etc.</w:t>
      </w:r>
    </w:p>
    <w:p>
      <w:pPr>
        <w:pStyle w:val="Compact"/>
        <w:numPr>
          <w:ilvl w:val="0"/>
          <w:numId w:val="1006"/>
        </w:numPr>
      </w:pPr>
      <w:r>
        <w:rPr>
          <w:i/>
          <w:iCs/>
        </w:rPr>
        <w:t xml:space="preserve">&lt;Item fora do escopo 1, ex.: renda pessoal e finanças privadas dos membros.&gt;</w:t>
      </w:r>
    </w:p>
    <w:p>
      <w:pPr>
        <w:pStyle w:val="Compact"/>
        <w:numPr>
          <w:ilvl w:val="0"/>
          <w:numId w:val="1006"/>
        </w:numPr>
      </w:pPr>
      <w:r>
        <w:rPr>
          <w:i/>
          <w:iCs/>
        </w:rPr>
        <w:t xml:space="preserve">&lt;Item fora do escopo 2, ex.: relacionamentos privados e arranjos pessoais de moradia (exceto quando se aplicam condições críticas de segurança da Camada 4).&gt;</w:t>
      </w:r>
    </w:p>
    <w:p>
      <w:pPr>
        <w:pStyle w:val="Compact"/>
        <w:numPr>
          <w:ilvl w:val="0"/>
          <w:numId w:val="1006"/>
        </w:numPr>
      </w:pPr>
      <w:r>
        <w:rPr>
          <w:i/>
          <w:iCs/>
        </w:rPr>
        <w:t xml:space="preserve">&lt;Item fora do escopo 3, ex.: infraestrutura de servidor subjacente e contratos de serviços de terceiros.&gt;</w:t>
      </w:r>
    </w:p>
    <w:p>
      <w:pPr>
        <w:pStyle w:val="Compact"/>
        <w:numPr>
          <w:ilvl w:val="0"/>
          <w:numId w:val="1006"/>
        </w:numPr>
      </w:pPr>
      <w:r>
        <w:rPr>
          <w:i/>
          <w:iCs/>
        </w:rPr>
        <w:t xml:space="preserve">&lt;Item fora do escopo 4.&gt;</w:t>
      </w:r>
    </w:p>
    <w:p>
      <w:r>
        <w:pict>
          <v:rect style="width:0;height:1.5pt" o:hralign="center" o:hrstd="t" o:hr="t"/>
        </w:pict>
      </w:r>
    </w:p>
    <w:bookmarkEnd w:id="19"/>
    <w:bookmarkStart w:id="20" w:name="registro-de-ratificação"/>
    <w:p>
      <w:pPr>
        <w:pStyle w:val="Heading2"/>
      </w:pPr>
      <w:r>
        <w:t xml:space="preserve">Registro de Ratificação</w:t>
      </w:r>
    </w:p>
    <w:p>
      <w:pPr>
        <w:pStyle w:val="Compact"/>
        <w:numPr>
          <w:ilvl w:val="0"/>
          <w:numId w:val="1007"/>
        </w:numPr>
      </w:pPr>
      <w:r>
        <w:rPr>
          <w:b/>
          <w:bCs/>
        </w:rPr>
        <w:t xml:space="preserve">Adotado em:</w:t>
      </w:r>
      <w:r>
        <w:t xml:space="preserve"> </w:t>
      </w:r>
      <w:r>
        <w:t xml:space="preserve">&lt;AAAA-MM-DD&gt;</w:t>
      </w:r>
    </w:p>
    <w:p>
      <w:pPr>
        <w:pStyle w:val="Compact"/>
        <w:numPr>
          <w:ilvl w:val="0"/>
          <w:numId w:val="1007"/>
        </w:numPr>
      </w:pPr>
      <w:r>
        <w:rPr>
          <w:b/>
          <w:bCs/>
        </w:rPr>
        <w:t xml:space="preserve">Tipo de decisão:</w:t>
      </w:r>
      <w:r>
        <w:t xml:space="preserve"> </w:t>
      </w:r>
      <w:r>
        <w:t xml:space="preserve">Constitucional</w:t>
      </w:r>
    </w:p>
    <w:p>
      <w:pPr>
        <w:pStyle w:val="Compact"/>
        <w:numPr>
          <w:ilvl w:val="0"/>
          <w:numId w:val="1007"/>
        </w:numPr>
      </w:pPr>
      <w:r>
        <w:rPr>
          <w:b/>
          <w:bCs/>
        </w:rPr>
        <w:t xml:space="preserve">Versão:</w:t>
      </w:r>
      <w:r>
        <w:t xml:space="preserve"> </w:t>
      </w:r>
      <w:r>
        <w:t xml:space="preserve">&lt;versão&gt;</w:t>
      </w:r>
    </w:p>
    <w:p>
      <w:pPr>
        <w:pStyle w:val="Compact"/>
        <w:numPr>
          <w:ilvl w:val="0"/>
          <w:numId w:val="1007"/>
        </w:numPr>
      </w:pPr>
      <w:r>
        <w:rPr>
          <w:b/>
          <w:bCs/>
        </w:rPr>
        <w:t xml:space="preserve">Registro da decisão:</w:t>
      </w:r>
      <w:r>
        <w:t xml:space="preserve"> </w:t>
      </w:r>
      <w:r>
        <w:t xml:space="preserve">&lt;link para o registro da decisão&gt;</w:t>
      </w:r>
    </w:p>
    <w:bookmarkEnd w:id="20"/>
    <w:bookmarkEnd w:id="21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99411">
    <w:nsid w:val="00A99411"/>
    <w:multiLevelType w:val="multilevel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4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5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6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7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image" Id="rId9" Target="media/rId9.png" /><Relationship Type="http://schemas.openxmlformats.org/officeDocument/2006/relationships/hyperlink" Id="rId14" Target="https://rcos.ecohubs.community/pt-br/articles/rcos-core/v0-1/layer-0-identity-scope#22-scope-declaration" TargetMode="External" /><Relationship Type="http://schemas.openxmlformats.org/officeDocument/2006/relationships/hyperlink" Id="rId15" Target="https://rcos.ecohubs.community/pt-br/articles/rcos-core/v0-1/layer-0-identity-scope#25-artifacts" TargetMode="External" /><Relationship Type="http://schemas.openxmlformats.org/officeDocument/2006/relationships/hyperlink" Id="rId13" Target="https://rcos.ecohubs.community/pt-br/articles/rcos-templates" TargetMode="External" /><Relationship Type="http://schemas.openxmlformats.org/officeDocument/2006/relationships/hyperlink" Id="rId12" Target="https://rcos.ecohubs.community/pt-br/articles/rcos-templates/layer-0/scope-declaration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14" Target="https://rcos.ecohubs.community/pt-br/articles/rcos-core/v0-1/layer-0-identity-scope#22-scope-declaration" TargetMode="External" /><Relationship Type="http://schemas.openxmlformats.org/officeDocument/2006/relationships/hyperlink" Id="rId15" Target="https://rcos.ecohubs.community/pt-br/articles/rcos-core/v0-1/layer-0-identity-scope#25-artifacts" TargetMode="External" /><Relationship Type="http://schemas.openxmlformats.org/officeDocument/2006/relationships/hyperlink" Id="rId13" Target="https://rcos.ecohubs.community/pt-br/articles/rcos-templates" TargetMode="External" /><Relationship Type="http://schemas.openxmlformats.org/officeDocument/2006/relationships/hyperlink" Id="rId12" Target="https://rcos.ecohubs.community/pt-br/articles/rcos-templates/layer-0/scope-declaration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2026-07-07T15:16:01Z</dcterms:created>
  <dcterms:modified xsi:type="dcterms:W3CDTF">2026-07-07T15:16:01Z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itle-meta">
    <vt:lpwstr>Declaração de Escopo</vt:lpwstr>
  </property>
</Properties>
</file>