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1" w:name="carta-de-propósito"/>
    <w:p>
      <w:pPr>
        <w:pStyle w:val="Heading1"/>
      </w:pPr>
      <w:r>
        <w:t xml:space="preserve">Carta de Propósito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https://rcos.ecohubs.community/pt-br/articles/rcos-templates/layer-0/purpose-charter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0 — Identidade e Escopo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§2.1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§2.5</w:t>
        </w:r>
      </w:hyperlink>
    </w:p>
    <w:p>
      <w:r>
        <w:pict>
          <v:rect style="width:0;height:1.5pt" o:hralign="center" o:hrstd="t" o:hr="t"/>
        </w:pict>
      </w:r>
    </w:p>
    <w:bookmarkStart w:id="16" w:name="propósito-primário"/>
    <w:p>
      <w:pPr>
        <w:pStyle w:val="Heading2"/>
      </w:pPr>
      <w:r>
        <w:t xml:space="preserve">Propósito Primário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2.1.1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2.1.2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2.1.5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um único propósito duradouro</w:t>
      </w:r>
      <w:r>
        <w:t xml:space="preserve"> </w:t>
      </w:r>
      <w:r>
        <w:t xml:space="preserve">&gt;</w:t>
      </w:r>
      <w:r>
        <w:t xml:space="preserve"> </w:t>
      </w:r>
      <w:r>
        <w:t xml:space="preserve">&gt; Toda decisão, papel e alocação de recursos a jusante precisa permanecer consistente com uma única coisa — o propósito primário da comunidade. Se ele deriva, muda com as tendências ou é reescrito para justificar o projeto mais recente, não sobra nada para ancorar a governança. Um propósito primário único e estável é a estrela polar constitucional: as estratégias mudam, o propósito não.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isto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exatamente um propósito primário. Ele deve descrever a razão duradoura pela qual sua comunidade existe — não um projeto, estratégia ou meta de curto prazo. Uma ou duas frases.</w:t>
      </w:r>
    </w:p>
    <w:p>
      <w:pPr>
        <w:pStyle w:val="BodyText"/>
      </w:pPr>
      <w:r>
        <w:rPr>
          <w:i/>
          <w:iCs/>
        </w:rPr>
        <w:t xml:space="preserve">&lt;O propósito primário da sua comunidade, em uma ou duas frases.&gt;</w:t>
      </w:r>
    </w:p>
    <w:bookmarkEnd w:id="16"/>
    <w:bookmarkStart w:id="17" w:name="propósitos-secundários"/>
    <w:p>
      <w:pPr>
        <w:pStyle w:val="Heading2"/>
      </w:pPr>
      <w:r>
        <w:t xml:space="preserve">Propósitos Secundários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2.1.4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permitir propósitos secundários</w:t>
      </w:r>
      <w:r>
        <w:t xml:space="preserve"> </w:t>
      </w:r>
      <w:r>
        <w:t xml:space="preserve">&gt;</w:t>
      </w:r>
      <w:r>
        <w:t xml:space="preserve"> </w:t>
      </w:r>
      <w:r>
        <w:t xml:space="preserve">&gt; Uma comunidade raramente faz apenas uma coisa. Os propósitos secundários abrem espaço para os outros resultados concretos que a comunidade persegue — mas são subordinados. Se um propósito secundário entrar em conflito com o primário, o primário vence. Declará-los explicitamente impede que a expansão de escopo se disfarce de trabalho central.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isto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resultados secundários concretos que a comunidade persegue. Eles não devem conflitar com nem sobrepor-se ao propósito primário. Remova a seção inteira se você não tiver nenhum.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&lt;Propósito secundário 1.&gt;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&lt;Propósito secundário 2.&gt;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&lt;Propósito secundário 3.&gt;</w:t>
      </w:r>
    </w:p>
    <w:bookmarkEnd w:id="17"/>
    <w:bookmarkStart w:id="18" w:name="não-objetivos-e-exclusões"/>
    <w:p>
      <w:pPr>
        <w:pStyle w:val="Heading2"/>
      </w:pPr>
      <w:r>
        <w:t xml:space="preserve">Não-Objetivos e Exclusões</w:t>
      </w:r>
    </w:p>
    <w:p>
      <w:pPr>
        <w:pStyle w:val="FirstParagraph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declarar o que a comunidade não é</w:t>
      </w:r>
      <w:r>
        <w:t xml:space="preserve"> </w:t>
      </w:r>
      <w:r>
        <w:t xml:space="preserve">&gt;</w:t>
      </w:r>
      <w:r>
        <w:t xml:space="preserve"> </w:t>
      </w:r>
      <w:r>
        <w:t xml:space="preserve">&gt; Comunidades derivam por acréscimo — uma suposição não contestada de cada vez. Nomear o que a comunidade explicitamente</w:t>
      </w:r>
      <w:r>
        <w:t xml:space="preserve"> </w:t>
      </w:r>
      <w:r>
        <w:rPr>
          <w:i/>
          <w:iCs/>
        </w:rPr>
        <w:t xml:space="preserve">não é</w:t>
      </w:r>
      <w:r>
        <w:t xml:space="preserve"> </w:t>
      </w:r>
      <w:r>
        <w:t xml:space="preserve">torna as violações de fronteira visíveis cedo e dá a qualquer pessoa uma base clara para objetar antes que uma atividade se normalize. O silêncio aqui é lido como consentimento.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isto</w:t>
      </w:r>
      <w:r>
        <w:t xml:space="preserve"> </w:t>
      </w:r>
      <w:r>
        <w:t xml:space="preserve">&gt;</w:t>
      </w:r>
      <w:r>
        <w:t xml:space="preserve"> </w:t>
      </w:r>
      <w:r>
        <w:t xml:space="preserve">&gt; Nomeie as coisas que sua comunidade explicitamente NÃO é, especialmente identidades ou papéis que outros possam presumir por padrão (partido político, veículo de investimento, grupo religioso, etc.).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&lt;Não-objetivo 1.&gt;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&lt;Não-objetivo 2.&gt;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&lt;Não-objetivo 3.&gt;</w:t>
      </w:r>
    </w:p>
    <w:bookmarkEnd w:id="18"/>
    <w:bookmarkStart w:id="19" w:name="condições-para-mudança-de-propósito"/>
    <w:p>
      <w:pPr>
        <w:pStyle w:val="Heading2"/>
      </w:pPr>
      <w:r>
        <w:t xml:space="preserve">Condições para Mudança de Propósito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2.1.3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tornar difícil mudar o propósito</w:t>
      </w:r>
      <w:r>
        <w:t xml:space="preserve"> </w:t>
      </w:r>
      <w:r>
        <w:t xml:space="preserve">&gt;</w:t>
      </w:r>
      <w:r>
        <w:t xml:space="preserve"> </w:t>
      </w:r>
      <w:r>
        <w:t xml:space="preserve">&gt; O propósito é a única coisa da qual todo o resto depende. Se fosse fácil de mudar, nada acima dele na pilha — associação, governança, invariantes — poderia ser confiado a significar a mesma coisa de um ano para o outro. Limiares de nível constitucional e um prazo de ratificação forçam um ato deliberado e visível, não uma deriva silenciosa.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isto</w:t>
      </w:r>
      <w:r>
        <w:t xml:space="preserve"> </w:t>
      </w:r>
      <w:r>
        <w:t xml:space="preserve">&gt;</w:t>
      </w:r>
      <w:r>
        <w:t xml:space="preserve"> </w:t>
      </w:r>
      <w:r>
        <w:t xml:space="preserve">&gt; Descreva o procedimento de mudança. No mínimo: o tipo de decisão exigido para o propósito primário (Constitucional, conforme a Camada 2), o limiar, o prazo de ratificação e onde a mudança é registrada (histórico de versões da Camada 6). Propósitos secundários normalmente precisam de um patamar mais baixo.</w:t>
      </w:r>
    </w:p>
    <w:p>
      <w:pPr>
        <w:pStyle w:val="BodyText"/>
      </w:pPr>
      <w:r>
        <w:t xml:space="preserve">O propósito primário só pode ser alterado por meio de uma decisão Constitucional conforme definida na Matriz de Decisão (Camada 2), exigindo</w:t>
      </w:r>
      <w:r>
        <w:t xml:space="preserve"> </w:t>
      </w:r>
      <w:r>
        <w:rPr>
          <w:i/>
          <w:iCs/>
        </w:rPr>
        <w:t xml:space="preserve">&lt;limiar, ex.: supermaioria de Membros Plenos ≥⅔ dos votos emitidos&gt;</w:t>
      </w:r>
      <w:r>
        <w:t xml:space="preserve">, seguida de um período de ratificação não inferior a</w:t>
      </w:r>
      <w:r>
        <w:t xml:space="preserve"> </w:t>
      </w:r>
      <w:r>
        <w:rPr>
          <w:i/>
          <w:iCs/>
        </w:rPr>
        <w:t xml:space="preserve">&lt;duração, ex.: 30 dias&gt;</w:t>
      </w:r>
      <w:r>
        <w:t xml:space="preserve">. Propósitos secundários podem ser alterados por meio de uma decisão Estratégica. Qualquer mudança deve ser registrada no Histórico de Versões (Camada 6).</w:t>
      </w:r>
    </w:p>
    <w:p>
      <w:r>
        <w:pict>
          <v:rect style="width:0;height:1.5pt" o:hralign="center" o:hrstd="t" o:hr="t"/>
        </w:pict>
      </w:r>
    </w:p>
    <w:bookmarkEnd w:id="19"/>
    <w:bookmarkStart w:id="20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Constitucional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&lt;link para o registro de decisão&gt;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0-identity-scope#21-purpose-definition" TargetMode="External" /><Relationship Type="http://schemas.openxmlformats.org/officeDocument/2006/relationships/hyperlink" Id="rId15" Target="https://rcos.ecohubs.community/pt-br/articles/rcos-core/v0-1/layer-0-identity-scope#2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0/purpose-char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0-identity-scope#21-purpose-definition" TargetMode="External" /><Relationship Type="http://schemas.openxmlformats.org/officeDocument/2006/relationships/hyperlink" Id="rId15" Target="https://rcos.ecohubs.community/pt-br/articles/rcos-core/v0-1/layer-0-identity-scope#2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0/purpose-char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2026-07-07T15:16:00Z</dcterms:created>
  <dcterms:modified xsi:type="dcterms:W3CDTF">2026-07-07T15:16:00Z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Carta de Propósito</vt:lpwstr>
  </property>
</Properties>
</file>