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18" w:name="registro-de-invariantes"/>
    <w:p>
      <w:pPr>
        <w:pStyle w:val="Heading1"/>
      </w:pPr>
      <w:r>
        <w:t xml:space="preserve">Registro de Invariantes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https://rcos.ecohubs.community/pt-br/articles/rcos-templates/layer-0/invariants-register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0 — Identidade e Escopo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§2.3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§2.5</w:t>
        </w:r>
      </w:hyperlink>
    </w:p>
    <w:p>
      <w:pPr>
        <w:pStyle w:val="FirstParagraph"/>
      </w:pPr>
      <w:r>
        <w:t xml:space="preserve">&gt; Invariantes são restrições que NÃO DEVEM ser violadas enquanto estiverem em vigor. Nenhuma decisão, papel, processo ou medida emergencial pode sobrepor um invariante. Se surgir um conflito entre um invariante e qualquer outra regra, o invariante prevalece.</w:t>
      </w:r>
    </w:p>
    <w:p>
      <w:r>
        <w:pict>
          <v:rect style="width:0;height:1.5pt" o:hralign="center" o:hrstd="t" o:hr="t"/>
        </w:pict>
      </w:r>
    </w:p>
    <w:bookmarkStart w:id="16" w:name="invariantes-ativos"/>
    <w:p>
      <w:pPr>
        <w:pStyle w:val="Heading2"/>
      </w:pPr>
      <w:r>
        <w:t xml:space="preserve">Invariantes Ativos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2.3.2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2.3.3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2.3.4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2.3.5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2.3.6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os invariantes não podem ser sobrepostos</w:t>
      </w:r>
      <w:r>
        <w:t xml:space="preserve"> </w:t>
      </w:r>
      <w:r>
        <w:t xml:space="preserve">&gt;</w:t>
      </w:r>
      <w:r>
        <w:t xml:space="preserve"> </w:t>
      </w:r>
      <w:r>
        <w:t xml:space="preserve">&gt; Os invariantes são o piso rígido do sistema — as coisas que precisam continuar verdadeiras mesmo sob pressão, emergência ou votação popular. Se qualquer decisão, papel ou medida de crise pudesse sobrepô-los, eles deixariam de ser restrições e se tornariam preferências. Listá-los explicitamente e vinculá-los a todas as camadas é o que torna o sistema de governança confiável sob estresse, não apenas em dias tranquilos.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Cada invariante é uma restrição rígida. Mantenha-os poucos, específicos e absolutos — formulados de modo que qualquer violação seja inequivocamente identificável. Categorias comuns: proteção do propósito, rastreabilidade da autoridade, direitos de saída, neutralidade ideológica, não extração, primazia da segurança.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Invariante</w:t>
            </w:r>
          </w:p>
        </w:tc>
        <w:tc>
          <w:tcPr/>
          <w:p>
            <w:pPr>
              <w:pStyle w:val="Compact"/>
            </w:pPr>
            <w:r>
              <w:t xml:space="preserve">Adicionado em</w:t>
            </w:r>
          </w:p>
        </w:tc>
        <w:tc>
          <w:tcPr/>
          <w:p>
            <w:pPr>
              <w:pStyle w:val="Compact"/>
            </w:pPr>
            <w:r>
              <w:t xml:space="preserve">Registro de decisão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INV-001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&lt;Declaração do invariante, ex.: O propósito primário nunca pode ser sobreposto por qualquer decisão operacional ou estratégica, papel ou medida emergencial.&gt;</w:t>
            </w:r>
          </w:p>
        </w:tc>
        <w:tc>
          <w:tcPr/>
          <w:p>
            <w:pPr>
              <w:pStyle w:val="Compact"/>
            </w:pPr>
            <w:r>
              <w:t xml:space="preserve">&lt;AAAA-MM-DD&gt;</w:t>
            </w:r>
          </w:p>
        </w:tc>
        <w:tc>
          <w:tcPr/>
          <w:p>
            <w:pPr>
              <w:pStyle w:val="Compact"/>
            </w:pPr>
            <w:r>
              <w:t xml:space="preserve">[link]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INV-002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&lt;Declaração do invariante, ex.: A autoridade deve ser sempre explícita e rastreável até o sistema de governança — nenhuma pessoa ou papel pode deter ou exercer autoridade não declarada.&gt;</w:t>
            </w:r>
          </w:p>
        </w:tc>
        <w:tc>
          <w:tcPr/>
          <w:p>
            <w:pPr>
              <w:pStyle w:val="Compact"/>
            </w:pPr>
            <w:r>
              <w:t xml:space="preserve">&lt;AAAA-MM-DD&gt;</w:t>
            </w:r>
          </w:p>
        </w:tc>
        <w:tc>
          <w:tcPr/>
          <w:p>
            <w:pPr>
              <w:pStyle w:val="Compact"/>
            </w:pPr>
            <w:r>
              <w:t xml:space="preserve">[link]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INV-003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&lt;Declaração do invariante, ex.: A saída da comunidade deve ser sempre possível e nunca deve ser bloqueada, penalizada ou condicionada além do que está definido na Camada 1.&gt;</w:t>
            </w:r>
          </w:p>
        </w:tc>
        <w:tc>
          <w:tcPr/>
          <w:p>
            <w:pPr>
              <w:pStyle w:val="Compact"/>
            </w:pPr>
            <w:r>
              <w:t xml:space="preserve">&lt;AAAA-MM-DD&gt;</w:t>
            </w:r>
          </w:p>
        </w:tc>
        <w:tc>
          <w:tcPr/>
          <w:p>
            <w:pPr>
              <w:pStyle w:val="Compact"/>
            </w:pPr>
            <w:r>
              <w:t xml:space="preserve">[link]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INV-004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&lt;Declaração do invariante.&gt;</w:t>
            </w:r>
          </w:p>
        </w:tc>
        <w:tc>
          <w:tcPr/>
          <w:p>
            <w:pPr>
              <w:pStyle w:val="Compact"/>
            </w:pPr>
            <w:r>
              <w:t xml:space="preserve">&lt;AAAA-MM-DD&gt;</w:t>
            </w:r>
          </w:p>
        </w:tc>
        <w:tc>
          <w:tcPr/>
          <w:p>
            <w:pPr>
              <w:pStyle w:val="Compact"/>
            </w:pPr>
            <w:r>
              <w:t xml:space="preserve">[link]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INV-005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&lt;Declaração do invariante.&gt;</w:t>
            </w:r>
          </w:p>
        </w:tc>
        <w:tc>
          <w:tcPr/>
          <w:p>
            <w:pPr>
              <w:pStyle w:val="Compact"/>
            </w:pPr>
            <w:r>
              <w:t xml:space="preserve">&lt;AAAA-MM-DD&gt;</w:t>
            </w:r>
          </w:p>
        </w:tc>
        <w:tc>
          <w:tcPr/>
          <w:p>
            <w:pPr>
              <w:pStyle w:val="Compact"/>
            </w:pPr>
            <w:r>
              <w:t xml:space="preserve">[link]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INV-006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&lt;Declaração do invariante, ex.: A segurança física, psicológica e infantil sempre tem precedência sobre direitos de participação, continuidade de papéis e preocupações reputacionais.&gt;</w:t>
            </w:r>
          </w:p>
        </w:tc>
        <w:tc>
          <w:tcPr/>
          <w:p>
            <w:pPr>
              <w:pStyle w:val="Compact"/>
            </w:pPr>
            <w:r>
              <w:t xml:space="preserve">&lt;AAAA-MM-DD&gt;</w:t>
            </w:r>
          </w:p>
        </w:tc>
        <w:tc>
          <w:tcPr/>
          <w:p>
            <w:pPr>
              <w:pStyle w:val="Compact"/>
            </w:pPr>
            <w:r>
              <w:t xml:space="preserve">[link]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Constitucional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&lt;link para o registro de decisão&gt;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0-identity-scope#23-invariants" TargetMode="External" /><Relationship Type="http://schemas.openxmlformats.org/officeDocument/2006/relationships/hyperlink" Id="rId15" Target="https://rcos.ecohubs.community/pt-br/articles/rcos-core/v0-1/layer-0-identity-scope#2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0/invariants-regis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0-identity-scope#23-invariants" TargetMode="External" /><Relationship Type="http://schemas.openxmlformats.org/officeDocument/2006/relationships/hyperlink" Id="rId15" Target="https://rcos.ecohubs.community/pt-br/articles/rcos-core/v0-1/layer-0-identity-scope#2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0/invariants-regis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2026-07-07T15:16:00Z</dcterms:created>
  <dcterms:modified xsi:type="dcterms:W3CDTF">2026-07-07T15:16:00Z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Registro de Invariantes</vt:lpwstr>
  </property>
</Properties>
</file>