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19" w:name="historique-des-versions"/>
    <w:p>
      <w:pPr>
        <w:pStyle w:val="Heading1"/>
      </w:pPr>
      <w:r>
        <w:t xml:space="preserve">Historique des versions</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https://blueprint.ecohubs.community/fr/articles/rcos-templates/layer-6/version-history</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6 — Évolution et adaptation</w:t>
      </w:r>
    </w:p>
    <w:p>
      <w:pPr>
        <w:pStyle w:val="Compact"/>
        <w:numPr>
          <w:ilvl w:val="0"/>
          <w:numId w:val="1002"/>
        </w:numPr>
      </w:pPr>
      <w:r>
        <w:rPr>
          <w:b/>
          <w:bCs/>
        </w:rPr>
        <w:t xml:space="preserve">Statut :</w:t>
      </w:r>
      <w:r>
        <w:t xml:space="preserve"> </w:t>
      </w:r>
      <w:r>
        <w:t xml:space="preserve">Modèle — à adapter pour ta communauté ; mis à jour à chaque changement adopté</w:t>
      </w:r>
    </w:p>
    <w:p>
      <w:pPr>
        <w:pStyle w:val="Compact"/>
        <w:numPr>
          <w:ilvl w:val="0"/>
          <w:numId w:val="1002"/>
        </w:numPr>
      </w:pPr>
      <w:r>
        <w:rPr>
          <w:b/>
          <w:bCs/>
        </w:rPr>
        <w:t xml:space="preserve">Référence RCOS :</w:t>
      </w:r>
      <w:r>
        <w:t xml:space="preserve"> </w:t>
      </w:r>
      <w:hyperlink r:id="rId14">
        <w:r>
          <w:rPr>
            <w:rStyle w:val="Hyperlink"/>
          </w:rPr>
          <w:t xml:space="preserve">§8.2</w:t>
        </w:r>
      </w:hyperlink>
      <w:r>
        <w:t xml:space="preserve">,</w:t>
      </w:r>
      <w:r>
        <w:t xml:space="preserve"> </w:t>
      </w:r>
      <w:hyperlink r:id="rId15">
        <w:r>
          <w:rPr>
            <w:rStyle w:val="Hyperlink"/>
          </w:rPr>
          <w:t xml:space="preserve">§8.6</w:t>
        </w:r>
      </w:hyperlink>
    </w:p>
    <w:p>
      <w:pPr>
        <w:pStyle w:val="BlockText"/>
      </w:pPr>
      <w:r>
        <w:t xml:space="preserve">Le registre officiel lisible par les humains de tous les changements adoptés dans l’implémentation RCOS de ta communauté. La version actuellement active est l’entrée la plus récente en haut de ce fichier. Les règles remplacées restent accessibles via le contrôle de version.</w:t>
      </w:r>
    </w:p>
    <w:p>
      <w:r>
        <w:pict>
          <v:rect style="width:0;height:1.5pt" o:hralign="center" o:hrstd="t" o:hr="t"/>
        </w:pict>
      </w:r>
    </w:p>
    <w:bookmarkStart w:id="17" w:name="format-des-entrées"/>
    <w:p>
      <w:pPr>
        <w:pStyle w:val="Heading2"/>
      </w:pPr>
      <w:r>
        <w:t xml:space="preserve">Format des entrées</w:t>
      </w:r>
    </w:p>
    <w:p>
      <w:pPr>
        <w:pStyle w:val="FirstParagraph"/>
      </w:pPr>
      <w:r>
        <w:rPr>
          <w:i/>
          <w:iCs/>
        </w:rPr>
        <w:t xml:space="preserve">Clauses RCOS :</w:t>
      </w:r>
      <w:r>
        <w:rPr>
          <w:i/>
          <w:iCs/>
        </w:rPr>
        <w:t xml:space="preserve"> </w:t>
      </w:r>
      <w:hyperlink r:id="rId14">
        <w:r>
          <w:rPr>
            <w:rStyle w:val="Hyperlink"/>
            <w:i/>
            <w:iCs/>
          </w:rPr>
          <w:t xml:space="preserve">8.2.1</w:t>
        </w:r>
      </w:hyperlink>
      <w:r>
        <w:rPr>
          <w:i/>
          <w:iCs/>
        </w:rPr>
        <w:t xml:space="preserve">,</w:t>
      </w:r>
      <w:r>
        <w:rPr>
          <w:i/>
          <w:iCs/>
        </w:rPr>
        <w:t xml:space="preserve"> </w:t>
      </w:r>
      <w:hyperlink r:id="rId14">
        <w:r>
          <w:rPr>
            <w:rStyle w:val="Hyperlink"/>
            <w:i/>
            <w:iCs/>
          </w:rPr>
          <w:t xml:space="preserve">8.2.2</w:t>
        </w:r>
      </w:hyperlink>
      <w:r>
        <w:rPr>
          <w:i/>
          <w:iCs/>
        </w:rPr>
        <w:t xml:space="preserve">,</w:t>
      </w:r>
      <w:r>
        <w:rPr>
          <w:i/>
          <w:iCs/>
        </w:rPr>
        <w:t xml:space="preserve"> </w:t>
      </w:r>
      <w:hyperlink r:id="rId14">
        <w:r>
          <w:rPr>
            <w:rStyle w:val="Hyperlink"/>
            <w:i/>
            <w:iCs/>
          </w:rPr>
          <w:t xml:space="preserve">8.2.3</w:t>
        </w:r>
      </w:hyperlink>
      <w:r>
        <w:rPr>
          <w:i/>
          <w:iCs/>
        </w:rPr>
        <w:t xml:space="preserve">,</w:t>
      </w:r>
      <w:r>
        <w:rPr>
          <w:i/>
          <w:iCs/>
        </w:rPr>
        <w:t xml:space="preserve"> </w:t>
      </w:r>
      <w:hyperlink r:id="rId14">
        <w:r>
          <w:rPr>
            <w:rStyle w:val="Hyperlink"/>
            <w:i/>
            <w:iCs/>
          </w:rPr>
          <w:t xml:space="preserve">8.2.4</w:t>
        </w:r>
      </w:hyperlink>
      <w:r>
        <w:rPr>
          <w:i/>
          <w:iCs/>
        </w:rPr>
        <w:t xml:space="preserve">,</w:t>
      </w:r>
      <w:r>
        <w:rPr>
          <w:i/>
          <w:iCs/>
        </w:rPr>
        <w:t xml:space="preserve"> </w:t>
      </w:r>
      <w:hyperlink r:id="rId14">
        <w:r>
          <w:rPr>
            <w:rStyle w:val="Hyperlink"/>
            <w:i/>
            <w:iCs/>
          </w:rPr>
          <w:t xml:space="preserve">8.2.5</w:t>
        </w:r>
      </w:hyperlink>
      <w:r>
        <w:rPr>
          <w:i/>
          <w:iCs/>
        </w:rPr>
        <w:t xml:space="preserve">,</w:t>
      </w:r>
      <w:r>
        <w:rPr>
          <w:i/>
          <w:iCs/>
        </w:rPr>
        <w:t xml:space="preserve"> </w:t>
      </w:r>
      <w:hyperlink r:id="rId15">
        <w:r>
          <w:rPr>
            <w:rStyle w:val="Hyperlink"/>
            <w:i/>
            <w:iCs/>
          </w:rPr>
          <w:t xml:space="preserve">8.6.4</w:t>
        </w:r>
      </w:hyperlink>
      <w:r>
        <w:rPr>
          <w:i/>
          <w:iCs/>
        </w:rPr>
        <w:t xml:space="preserve">,</w:t>
      </w:r>
      <w:r>
        <w:rPr>
          <w:i/>
          <w:iCs/>
        </w:rPr>
        <w:t xml:space="preserve"> </w:t>
      </w:r>
      <w:hyperlink r:id="rId16">
        <w:r>
          <w:rPr>
            <w:rStyle w:val="Hyperlink"/>
            <w:i/>
            <w:iCs/>
          </w:rPr>
          <w:t xml:space="preserve">8.7.2</w:t>
        </w:r>
      </w:hyperlink>
    </w:p>
    <w:p>
      <w:pPr>
        <w:pStyle w:val="BlockText"/>
      </w:pPr>
      <w:r>
        <w:t xml:space="preserve">**Justification — Pourquoi enregistrer chaque changement adopté **</w:t>
      </w:r>
    </w:p>
    <w:p>
      <w:pPr>
        <w:pStyle w:val="BlockText"/>
      </w:pPr>
      <w:r>
        <w:t xml:space="preserve">Une gouvernance qui ne peut pas indiquer « ce qui a changé, quand et pourquoi » est indiscernable d’une gouvernance par celui qui parle le plus fort. Un registre unique en ajout seul des changements adoptés — avec les versions remplacées conservées dans le contrôle de version — rend l’état actuel des règles sans ambiguïté et donne aux membres, aux auditeurs et aux futurs responsables un moyen de reconstituer le chemin qui nous a menés ici.</w:t>
      </w:r>
    </w:p>
    <w:p>
      <w:pPr>
        <w:pStyle w:val="BlockText"/>
      </w:pPr>
      <w:r>
        <w:rPr>
          <w:b/>
          <w:bCs/>
        </w:rPr>
        <w:t xml:space="preserve">Instructions — Comment remplir ce document</w:t>
      </w:r>
    </w:p>
    <w:p>
      <w:pPr>
        <w:pStyle w:val="BlockText"/>
      </w:pPr>
      <w:r>
        <w:t xml:space="preserve">Utilise le modèle d’entrée ci-dessous pour chaque changement adopté. Les nouvelles entrées sont ajoutées au-dessus de la plus récente. Ne modifie pas les entrées historiques — les corrections sont enregistrées comme de nouvelles entrées.</w:t>
      </w:r>
    </w:p>
    <w:p>
      <w:pPr>
        <w:pStyle w:val="SourceCode"/>
      </w:pPr>
      <w:r>
        <w:rPr>
          <w:rStyle w:val="FunctionTok"/>
        </w:rPr>
        <w:t xml:space="preserve">## &lt;version&gt; — &lt;Titre court&gt;</w:t>
      </w:r>
      <w:r>
        <w:br/>
      </w:r>
      <w:r>
        <w:br/>
      </w:r>
      <w:r>
        <w:rPr>
          <w:rStyle w:val="SpecialStringTok"/>
        </w:rPr>
        <w:t xml:space="preserve">- </w:t>
      </w:r>
      <w:r>
        <w:rPr>
          <w:rStyle w:val="NormalTok"/>
        </w:rPr>
        <w:t xml:space="preserve">**Date d'entrée en vigueur :** </w:t>
      </w:r>
      <w:r>
        <w:rPr>
          <w:rStyle w:val="DataTypeTok"/>
        </w:rPr>
        <w:t xml:space="preserve">&lt;</w:t>
      </w:r>
      <w:r>
        <w:rPr>
          <w:rStyle w:val="KeywordTok"/>
        </w:rPr>
        <w:t xml:space="preserve">AAAA-MM-JJ</w:t>
      </w:r>
      <w:r>
        <w:rPr>
          <w:rStyle w:val="DataTypeTok"/>
        </w:rPr>
        <w:t xml:space="preserve">&gt;</w:t>
      </w:r>
      <w:r>
        <w:br/>
      </w:r>
      <w:r>
        <w:rPr>
          <w:rStyle w:val="SpecialStringTok"/>
        </w:rPr>
        <w:t xml:space="preserve">- </w:t>
      </w:r>
      <w:r>
        <w:rPr>
          <w:rStyle w:val="NormalTok"/>
        </w:rPr>
        <w:t xml:space="preserve">**Registre de décision :** </w:t>
      </w:r>
      <w:r>
        <w:rPr>
          <w:rStyle w:val="DataTypeTok"/>
        </w:rPr>
        <w:t xml:space="preserve">&lt;</w:t>
      </w:r>
      <w:r>
        <w:rPr>
          <w:rStyle w:val="KeywordTok"/>
        </w:rPr>
        <w:t xml:space="preserve">lien</w:t>
      </w:r>
      <w:r>
        <w:rPr>
          <w:rStyle w:val="OtherTok"/>
        </w:rPr>
        <w:t xml:space="preserve"> vers le registre de décision</w:t>
      </w:r>
      <w:r>
        <w:rPr>
          <w:rStyle w:val="DataTypeTok"/>
        </w:rPr>
        <w:t xml:space="preserve">&gt;</w:t>
      </w:r>
      <w:r>
        <w:br/>
      </w:r>
      <w:r>
        <w:rPr>
          <w:rStyle w:val="SpecialStringTok"/>
        </w:rPr>
        <w:t xml:space="preserve">- </w:t>
      </w:r>
      <w:r>
        <w:rPr>
          <w:rStyle w:val="NormalTok"/>
        </w:rPr>
        <w:t xml:space="preserve">**Type de décision :** </w:t>
      </w:r>
      <w:r>
        <w:rPr>
          <w:rStyle w:val="DataTypeTok"/>
        </w:rPr>
        <w:t xml:space="preserve">&lt;</w:t>
      </w:r>
      <w:r>
        <w:rPr>
          <w:rStyle w:val="KeywordTok"/>
        </w:rPr>
        <w:t xml:space="preserve">Opérationnelle</w:t>
      </w:r>
      <w:r>
        <w:rPr>
          <w:rStyle w:val="OtherTok"/>
        </w:rPr>
        <w:t xml:space="preserve"> </w:t>
      </w:r>
      <w:r>
        <w:rPr>
          <w:rStyle w:val="ErrorTok"/>
        </w:rPr>
        <w:t xml:space="preserve">/</w:t>
      </w:r>
      <w:r>
        <w:rPr>
          <w:rStyle w:val="OtherTok"/>
        </w:rPr>
        <w:t xml:space="preserve"> Stratégique </w:t>
      </w:r>
      <w:r>
        <w:rPr>
          <w:rStyle w:val="ErrorTok"/>
        </w:rPr>
        <w:t xml:space="preserve">/</w:t>
      </w:r>
      <w:r>
        <w:rPr>
          <w:rStyle w:val="OtherTok"/>
        </w:rPr>
        <w:t xml:space="preserve"> Constitutionnelle</w:t>
      </w:r>
      <w:r>
        <w:rPr>
          <w:rStyle w:val="DataTypeTok"/>
        </w:rPr>
        <w:t xml:space="preserve">&gt;</w:t>
      </w:r>
      <w:r>
        <w:br/>
      </w:r>
      <w:r>
        <w:rPr>
          <w:rStyle w:val="SpecialStringTok"/>
        </w:rPr>
        <w:t xml:space="preserve">- </w:t>
      </w:r>
      <w:r>
        <w:rPr>
          <w:rStyle w:val="NormalTok"/>
        </w:rPr>
        <w:t xml:space="preserve">**Mécanisme :** </w:t>
      </w:r>
      <w:r>
        <w:rPr>
          <w:rStyle w:val="DataTypeTok"/>
        </w:rPr>
        <w:t xml:space="preserve">&lt;</w:t>
      </w:r>
      <w:r>
        <w:rPr>
          <w:rStyle w:val="KeywordTok"/>
        </w:rPr>
        <w:t xml:space="preserve">mécanisme</w:t>
      </w:r>
      <w:r>
        <w:rPr>
          <w:rStyle w:val="OtherTok"/>
        </w:rPr>
        <w:t xml:space="preserve"> de vote </w:t>
      </w:r>
      <w:r>
        <w:rPr>
          <w:rStyle w:val="ErrorTok"/>
        </w:rPr>
        <w:t xml:space="preserve">/</w:t>
      </w:r>
      <w:r>
        <w:rPr>
          <w:rStyle w:val="OtherTok"/>
        </w:rPr>
        <w:t xml:space="preserve"> autorité déléguée</w:t>
      </w:r>
      <w:r>
        <w:rPr>
          <w:rStyle w:val="DataTypeTok"/>
        </w:rPr>
        <w:t xml:space="preserve">&gt;</w:t>
      </w:r>
      <w:r>
        <w:br/>
      </w:r>
      <w:r>
        <w:rPr>
          <w:rStyle w:val="SpecialStringTok"/>
        </w:rPr>
        <w:t xml:space="preserve">- </w:t>
      </w:r>
      <w:r>
        <w:rPr>
          <w:rStyle w:val="NormalTok"/>
        </w:rPr>
        <w:t xml:space="preserve">**Résumé :** </w:t>
      </w:r>
      <w:r>
        <w:rPr>
          <w:rStyle w:val="DataTypeTok"/>
        </w:rPr>
        <w:t xml:space="preserve">&lt;</w:t>
      </w:r>
      <w:r>
        <w:rPr>
          <w:rStyle w:val="KeywordTok"/>
        </w:rPr>
        <w:t xml:space="preserve">une</w:t>
      </w:r>
      <w:r>
        <w:rPr>
          <w:rStyle w:val="OtherTok"/>
        </w:rPr>
        <w:t xml:space="preserve"> </w:t>
      </w:r>
      <w:r>
        <w:rPr>
          <w:rStyle w:val="ErrorTok"/>
        </w:rPr>
        <w:t xml:space="preserve">à</w:t>
      </w:r>
      <w:r>
        <w:rPr>
          <w:rStyle w:val="OtherTok"/>
        </w:rPr>
        <w:t xml:space="preserve"> trois phrases décrivant ce qui a changé.</w:t>
      </w:r>
      <w:r>
        <w:rPr>
          <w:rStyle w:val="DataTypeTok"/>
        </w:rPr>
        <w:t xml:space="preserve">&gt;</w:t>
      </w:r>
      <w:r>
        <w:br/>
      </w:r>
      <w:r>
        <w:rPr>
          <w:rStyle w:val="SpecialStringTok"/>
        </w:rPr>
        <w:t xml:space="preserve">- </w:t>
      </w:r>
      <w:r>
        <w:rPr>
          <w:rStyle w:val="NormalTok"/>
        </w:rPr>
        <w:t xml:space="preserve">**Couches concernées :** </w:t>
      </w:r>
      <w:r>
        <w:rPr>
          <w:rStyle w:val="DataTypeTok"/>
        </w:rPr>
        <w:t xml:space="preserve">&lt;</w:t>
      </w:r>
      <w:r>
        <w:rPr>
          <w:rStyle w:val="KeywordTok"/>
        </w:rPr>
        <w:t xml:space="preserve">p.</w:t>
      </w:r>
      <w:r>
        <w:rPr>
          <w:rStyle w:val="OtherTok"/>
        </w:rPr>
        <w:t xml:space="preserve"> ex. Couche </w:t>
      </w:r>
      <w:r>
        <w:rPr>
          <w:rStyle w:val="ErrorTok"/>
        </w:rPr>
        <w:t xml:space="preserve">2,</w:t>
      </w:r>
      <w:r>
        <w:rPr>
          <w:rStyle w:val="OtherTok"/>
        </w:rPr>
        <w:t xml:space="preserve"> Couche </w:t>
      </w:r>
      <w:r>
        <w:rPr>
          <w:rStyle w:val="ErrorTok"/>
        </w:rPr>
        <w:t xml:space="preserve">5</w:t>
      </w:r>
      <w:r>
        <w:rPr>
          <w:rStyle w:val="DataTypeTok"/>
        </w:rPr>
        <w:t xml:space="preserve">&gt;</w:t>
      </w:r>
      <w:r>
        <w:br/>
      </w:r>
      <w:r>
        <w:rPr>
          <w:rStyle w:val="SpecialStringTok"/>
        </w:rPr>
        <w:t xml:space="preserve">- </w:t>
      </w:r>
      <w:r>
        <w:rPr>
          <w:rStyle w:val="NormalTok"/>
        </w:rPr>
        <w:t xml:space="preserve">**Artefacts modifiés :** </w:t>
      </w:r>
      <w:r>
        <w:rPr>
          <w:rStyle w:val="DataTypeTok"/>
        </w:rPr>
        <w:t xml:space="preserve">&lt;</w:t>
      </w:r>
      <w:r>
        <w:rPr>
          <w:rStyle w:val="KeywordTok"/>
        </w:rPr>
        <w:t xml:space="preserve">liste</w:t>
      </w:r>
      <w:r>
        <w:rPr>
          <w:rStyle w:val="OtherTok"/>
        </w:rPr>
        <w:t xml:space="preserve"> des artefacts</w:t>
      </w:r>
      <w:r>
        <w:rPr>
          <w:rStyle w:val="DataTypeTok"/>
        </w:rPr>
        <w:t xml:space="preserve">&gt;</w:t>
      </w:r>
      <w:r>
        <w:br/>
      </w:r>
      <w:r>
        <w:rPr>
          <w:rStyle w:val="SpecialStringTok"/>
        </w:rPr>
        <w:t xml:space="preserve">- </w:t>
      </w:r>
      <w:r>
        <w:rPr>
          <w:rStyle w:val="NormalTok"/>
        </w:rPr>
        <w:t xml:space="preserve">**Notes de migration :** &lt;éventuelles règles de transition ; « aucune » si non applicable&gt;</w:t>
      </w:r>
    </w:p>
    <w:p>
      <w:r>
        <w:pict>
          <v:rect style="width:0;height:1.5pt" o:hralign="center" o:hrstd="t" o:hr="t"/>
        </w:pict>
      </w:r>
    </w:p>
    <w:bookmarkEnd w:id="17"/>
    <w:bookmarkStart w:id="18" w:name="version-actuelle--v00--dépôt-initialisé"/>
    <w:p>
      <w:pPr>
        <w:pStyle w:val="Heading2"/>
      </w:pPr>
      <w:r>
        <w:t xml:space="preserve">Version actuelle : v0.0 — Dépôt initialisé</w:t>
      </w:r>
    </w:p>
    <w:p>
      <w:pPr>
        <w:pStyle w:val="Compact"/>
        <w:numPr>
          <w:ilvl w:val="0"/>
          <w:numId w:val="1003"/>
        </w:numPr>
      </w:pPr>
      <w:r>
        <w:rPr>
          <w:b/>
          <w:bCs/>
        </w:rPr>
        <w:t xml:space="preserve">Date d’entrée en vigueur :</w:t>
      </w:r>
      <w:r>
        <w:t xml:space="preserve"> </w:t>
      </w:r>
    </w:p>
    <w:p>
      <w:pPr>
        <w:pStyle w:val="Compact"/>
        <w:numPr>
          <w:ilvl w:val="0"/>
          <w:numId w:val="1003"/>
        </w:numPr>
      </w:pPr>
      <w:r>
        <w:rPr>
          <w:b/>
          <w:bCs/>
        </w:rPr>
        <w:t xml:space="preserve">Registre de décision :</w:t>
      </w:r>
      <w:r>
        <w:t xml:space="preserve"> </w:t>
      </w:r>
      <w:r>
        <w:t xml:space="preserve">N/A — structure initiale</w:t>
      </w:r>
    </w:p>
    <w:p>
      <w:pPr>
        <w:pStyle w:val="Compact"/>
        <w:numPr>
          <w:ilvl w:val="0"/>
          <w:numId w:val="1003"/>
        </w:numPr>
      </w:pPr>
      <w:r>
        <w:rPr>
          <w:b/>
          <w:bCs/>
        </w:rPr>
        <w:t xml:space="preserve">Type de décision :</w:t>
      </w:r>
      <w:r>
        <w:t xml:space="preserve"> </w:t>
      </w:r>
      <w:r>
        <w:t xml:space="preserve">N/A</w:t>
      </w:r>
    </w:p>
    <w:p>
      <w:pPr>
        <w:pStyle w:val="Compact"/>
        <w:numPr>
          <w:ilvl w:val="0"/>
          <w:numId w:val="1003"/>
        </w:numPr>
      </w:pPr>
      <w:r>
        <w:rPr>
          <w:b/>
          <w:bCs/>
        </w:rPr>
        <w:t xml:space="preserve">Mécanisme :</w:t>
      </w:r>
      <w:r>
        <w:t xml:space="preserve"> </w:t>
      </w:r>
      <w:r>
        <w:t xml:space="preserve">N/A</w:t>
      </w:r>
    </w:p>
    <w:p>
      <w:pPr>
        <w:pStyle w:val="Compact"/>
        <w:numPr>
          <w:ilvl w:val="0"/>
          <w:numId w:val="1003"/>
        </w:numPr>
      </w:pPr>
      <w:r>
        <w:rPr>
          <w:b/>
          <w:bCs/>
        </w:rPr>
        <w:t xml:space="preserve">Résumé :</w:t>
      </w:r>
      <w:r>
        <w:t xml:space="preserve"> </w:t>
      </w:r>
      <w:r>
        <w:t xml:space="preserve">Modèles initialisés. Tous les artefacts sont des modèles — aucune règle n’est encore adoptée.</w:t>
      </w:r>
    </w:p>
    <w:p>
      <w:pPr>
        <w:pStyle w:val="Compact"/>
        <w:numPr>
          <w:ilvl w:val="0"/>
          <w:numId w:val="1003"/>
        </w:numPr>
      </w:pPr>
      <w:r>
        <w:rPr>
          <w:b/>
          <w:bCs/>
        </w:rPr>
        <w:t xml:space="preserve">Couches concernées :</w:t>
      </w:r>
      <w:r>
        <w:t xml:space="preserve"> </w:t>
      </w:r>
      <w:r>
        <w:t xml:space="preserve">Toutes (structure uniquement)</w:t>
      </w:r>
    </w:p>
    <w:p>
      <w:pPr>
        <w:pStyle w:val="Compact"/>
        <w:numPr>
          <w:ilvl w:val="0"/>
          <w:numId w:val="1003"/>
        </w:numPr>
      </w:pPr>
      <w:r>
        <w:rPr>
          <w:b/>
          <w:bCs/>
        </w:rPr>
        <w:t xml:space="preserve">Artefacts modifiés :</w:t>
      </w:r>
      <w:r>
        <w:t xml:space="preserve"> </w:t>
      </w:r>
      <w:r>
        <w:t xml:space="preserve">Tous les fichiers créés en tant que modèles</w:t>
      </w:r>
    </w:p>
    <w:p>
      <w:pPr>
        <w:pStyle w:val="Compact"/>
        <w:numPr>
          <w:ilvl w:val="0"/>
          <w:numId w:val="1003"/>
        </w:numPr>
      </w:pPr>
      <w:r>
        <w:rPr>
          <w:b/>
          <w:bCs/>
        </w:rPr>
        <w:t xml:space="preserve">Notes de migration :</w:t>
      </w:r>
      <w:r>
        <w:t xml:space="preserve"> </w:t>
      </w:r>
      <w:r>
        <w:t xml:space="preserve">Aucune — état initial</w:t>
      </w:r>
    </w:p>
    <w:p>
      <w:r>
        <w:pict>
          <v:rect style="width:0;height:1.5pt" o:hralign="center" o:hrstd="t" o:hr="t"/>
        </w:pict>
      </w:r>
    </w:p>
    <w:p>
      <w:pPr>
        <w:pStyle w:val="FirstParagraph"/>
      </w:pPr>
      <w:r>
        <w:rPr>
          <w:i/>
          <w:iCs/>
        </w:rPr>
        <w:t xml:space="preserve">Les nouvelles entrées sont ajoutées au-dessus de cette ligne.</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6-evolution-adaptation#82-versioning-and-authority" TargetMode="External" /><Relationship Type="http://schemas.openxmlformats.org/officeDocument/2006/relationships/hyperlink" Id="rId15" Target="https://blueprint.ecohubs.community/fr/articles/rcos-core/v0-1/layer-6-evolution-adaptation#86-artifacts" TargetMode="External" /><Relationship Type="http://schemas.openxmlformats.org/officeDocument/2006/relationships/hyperlink" Id="rId16" Target="https://blueprint.ecohubs.community/fr/articles/rcos-core/v0-1/layer-6-evolution-adaptation#87-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6/version-histo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6-evolution-adaptation#82-versioning-and-authority" TargetMode="External" /><Relationship Type="http://schemas.openxmlformats.org/officeDocument/2006/relationships/hyperlink" Id="rId15" Target="https://blueprint.ecohubs.community/fr/articles/rcos-core/v0-1/layer-6-evolution-adaptation#86-artifacts" TargetMode="External" /><Relationship Type="http://schemas.openxmlformats.org/officeDocument/2006/relationships/hyperlink" Id="rId16" Target="https://blueprint.ecohubs.community/fr/articles/rcos-core/v0-1/layer-6-evolution-adaptation#87-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6/version-his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2026-04-29T01:58:27Z</dcterms:created>
  <dcterms:modified xsi:type="dcterms:W3CDTF">2026-04-29T01:58:27Z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Historique des versions</vt:lpwstr>
  </property>
</Properties>
</file>