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18" w:name="registre-des-invariants"/>
    <w:p>
      <w:pPr>
        <w:pStyle w:val="Heading1"/>
      </w:pPr>
      <w:r>
        <w:t xml:space="preserve">Registre des invariants</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https://blueprint.ecohubs.community/fr/articles/rcos-templates/layer-0/invariants-register</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0 — Identité et périmètre</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§2.3</w:t>
        </w:r>
      </w:hyperlink>
      <w:r>
        <w:t xml:space="preserve">,</w:t>
      </w:r>
      <w:r>
        <w:t xml:space="preserve"> </w:t>
      </w:r>
      <w:hyperlink r:id="rId15">
        <w:r>
          <w:rPr>
            <w:rStyle w:val="Hyperlink"/>
          </w:rPr>
          <w:t xml:space="preserve">§2.5</w:t>
        </w:r>
      </w:hyperlink>
    </w:p>
    <w:p>
      <w:pPr>
        <w:pStyle w:val="BlockText"/>
      </w:pPr>
      <w:r>
        <w:t xml:space="preserve">Les invariants sont des contraintes qui NE DOIVENT PAS être violées tant qu’ils sont en vigueur. Aucune décision, aucun rôle, processus ou mesure d’urgence ne PEUT outrepasser un invariant. En cas de conflit entre un invariant et toute autre règle, l’invariant prévaut.</w:t>
      </w:r>
    </w:p>
    <w:p>
      <w:r>
        <w:pict>
          <v:rect style="width:0;height:1.5pt" o:hralign="center" o:hrstd="t" o:hr="t"/>
        </w:pict>
      </w:r>
    </w:p>
    <w:bookmarkStart w:id="16" w:name="invariants-actifs"/>
    <w:p>
      <w:pPr>
        <w:pStyle w:val="Heading2"/>
      </w:pPr>
      <w:r>
        <w:t xml:space="preserve">Invariants actifs</w:t>
      </w:r>
    </w:p>
    <w:p>
      <w:pPr>
        <w:pStyle w:val="FirstParagraph"/>
      </w:pPr>
      <w:r>
        <w:rPr>
          <w:i/>
          <w:iCs/>
        </w:rPr>
        <w:t xml:space="preserve">Clauses RCOS :</w:t>
      </w:r>
      <w:r>
        <w:rPr>
          <w:i/>
          <w:iCs/>
        </w:rPr>
        <w:t xml:space="preserve"> </w:t>
      </w:r>
      <w:hyperlink r:id="rId14">
        <w:r>
          <w:rPr>
            <w:rStyle w:val="Hyperlink"/>
            <w:i/>
            <w:iCs/>
          </w:rPr>
          <w:t xml:space="preserve">2.3.1</w:t>
        </w:r>
      </w:hyperlink>
      <w:r>
        <w:rPr>
          <w:i/>
          <w:iCs/>
        </w:rPr>
        <w:t xml:space="preserve">,</w:t>
      </w:r>
      <w:r>
        <w:rPr>
          <w:i/>
          <w:iCs/>
        </w:rPr>
        <w:t xml:space="preserve"> </w:t>
      </w:r>
      <w:hyperlink r:id="rId14">
        <w:r>
          <w:rPr>
            <w:rStyle w:val="Hyperlink"/>
            <w:i/>
            <w:iCs/>
          </w:rPr>
          <w:t xml:space="preserve">2.3.2</w:t>
        </w:r>
      </w:hyperlink>
      <w:r>
        <w:rPr>
          <w:i/>
          <w:iCs/>
        </w:rPr>
        <w:t xml:space="preserve">,</w:t>
      </w:r>
      <w:r>
        <w:rPr>
          <w:i/>
          <w:iCs/>
        </w:rPr>
        <w:t xml:space="preserve"> </w:t>
      </w:r>
      <w:hyperlink r:id="rId14">
        <w:r>
          <w:rPr>
            <w:rStyle w:val="Hyperlink"/>
            <w:i/>
            <w:iCs/>
          </w:rPr>
          <w:t xml:space="preserve">2.3.3</w:t>
        </w:r>
      </w:hyperlink>
      <w:r>
        <w:rPr>
          <w:i/>
          <w:iCs/>
        </w:rPr>
        <w:t xml:space="preserve">,</w:t>
      </w:r>
      <w:r>
        <w:rPr>
          <w:i/>
          <w:iCs/>
        </w:rPr>
        <w:t xml:space="preserve"> </w:t>
      </w:r>
      <w:hyperlink r:id="rId14">
        <w:r>
          <w:rPr>
            <w:rStyle w:val="Hyperlink"/>
            <w:i/>
            <w:iCs/>
          </w:rPr>
          <w:t xml:space="preserve">2.3.4</w:t>
        </w:r>
      </w:hyperlink>
      <w:r>
        <w:rPr>
          <w:i/>
          <w:iCs/>
        </w:rPr>
        <w:t xml:space="preserve">,</w:t>
      </w:r>
      <w:r>
        <w:rPr>
          <w:i/>
          <w:iCs/>
        </w:rPr>
        <w:t xml:space="preserve"> </w:t>
      </w:r>
      <w:hyperlink r:id="rId14">
        <w:r>
          <w:rPr>
            <w:rStyle w:val="Hyperlink"/>
            <w:i/>
            <w:iCs/>
          </w:rPr>
          <w:t xml:space="preserve">2.3.5</w:t>
        </w:r>
      </w:hyperlink>
      <w:r>
        <w:rPr>
          <w:i/>
          <w:iCs/>
        </w:rPr>
        <w:t xml:space="preserve">,</w:t>
      </w:r>
      <w:r>
        <w:rPr>
          <w:i/>
          <w:iCs/>
        </w:rPr>
        <w:t xml:space="preserve"> </w:t>
      </w:r>
      <w:hyperlink r:id="rId14">
        <w:r>
          <w:rPr>
            <w:rStyle w:val="Hyperlink"/>
            <w:i/>
            <w:iCs/>
          </w:rPr>
          <w:t xml:space="preserve">2.3.6</w:t>
        </w:r>
      </w:hyperlink>
    </w:p>
    <w:p>
      <w:pPr>
        <w:pStyle w:val="BlockText"/>
      </w:pPr>
      <w:r>
        <w:t xml:space="preserve">**Justification — Pourquoi les invariants sont-ils impossibles à outrepasser **</w:t>
      </w:r>
    </w:p>
    <w:p>
      <w:pPr>
        <w:pStyle w:val="BlockText"/>
      </w:pPr>
      <w:r>
        <w:t xml:space="preserve">Les invariants constituent le socle dur du système — les éléments qui doivent rester vrais même sous pression, en situation d’urgence ou lors d’un vote populaire. Si une décision, un rôle ou une mesure de crise pouvait les outrepasser, ils cesseraient d’être des contraintes pour devenir de simples préférences. Les lister explicitement et les rendre contraignants à travers toutes les couches est ce qui rend le système de gouvernance fiable sous stress, pas seulement les jours de calme.</w:t>
      </w:r>
    </w:p>
    <w:p>
      <w:pPr>
        <w:pStyle w:val="BlockText"/>
      </w:pPr>
      <w:r>
        <w:rPr>
          <w:b/>
          <w:bCs/>
        </w:rPr>
        <w:t xml:space="preserve">Instructions — Comment remplir ce document</w:t>
      </w:r>
    </w:p>
    <w:p>
      <w:pPr>
        <w:pStyle w:val="BlockText"/>
      </w:pPr>
      <w:r>
        <w:t xml:space="preserve">Chaque invariant est une contrainte dure. Garde-les peu nombreux, spécifiques et absolus — formulés de sorte que toute violation soit identifiable sans ambiguïté. Catégories courantes : protection de la raison d’être, traçabilité de l’autorité, droits de sortie, neutralité idéologique, non-extraction, primauté de la sécurité.</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ID</w:t>
            </w:r>
          </w:p>
        </w:tc>
        <w:tc>
          <w:tcPr/>
          <w:p>
            <w:pPr>
              <w:pStyle w:val="Compact"/>
            </w:pPr>
            <w:r>
              <w:t xml:space="preserve">Invariant</w:t>
            </w:r>
          </w:p>
        </w:tc>
        <w:tc>
          <w:tcPr/>
          <w:p>
            <w:pPr>
              <w:pStyle w:val="Compact"/>
            </w:pPr>
            <w:r>
              <w:t xml:space="preserve">Ajouté</w:t>
            </w:r>
          </w:p>
        </w:tc>
        <w:tc>
          <w:tcPr/>
          <w:p>
            <w:pPr>
              <w:pStyle w:val="Compact"/>
            </w:pPr>
            <w:r>
              <w:t xml:space="preserve">Registre de décision</w:t>
            </w:r>
          </w:p>
        </w:tc>
      </w:tr>
      <w:tr>
        <w:tc>
          <w:tcPr/>
          <w:p>
            <w:pPr>
              <w:pStyle w:val="Compact"/>
            </w:pPr>
            <w:r>
              <w:t xml:space="preserve">INV-001</w:t>
            </w:r>
          </w:p>
        </w:tc>
        <w:tc>
          <w:tcPr/>
          <w:p>
            <w:pPr>
              <w:pStyle w:val="Compact"/>
            </w:pPr>
            <w:r>
              <w:rPr>
                <w:i/>
                <w:iCs/>
              </w:rPr>
              <w:t xml:space="preserve">&lt;Énoncé de l’invariant, p. ex. La raison d’être principale ne peut jamais être outrepassée par une décision opérationnelle ou stratégique, un rôle ou une mesure d’urgence.&gt;</w:t>
            </w:r>
          </w:p>
        </w:tc>
        <w:tc>
          <w:tcPr/>
          <w:p>
            <w:pPr>
              <w:pStyle w:val="Compact"/>
            </w:pPr>
          </w:p>
        </w:tc>
        <w:tc>
          <w:tcPr/>
          <w:p>
            <w:pPr>
              <w:pStyle w:val="Compact"/>
            </w:pPr>
            <w:r>
              <w:t xml:space="preserve">[lien]</w:t>
            </w:r>
          </w:p>
        </w:tc>
      </w:tr>
      <w:tr>
        <w:tc>
          <w:tcPr/>
          <w:p>
            <w:pPr>
              <w:pStyle w:val="Compact"/>
            </w:pPr>
            <w:r>
              <w:t xml:space="preserve">INV-002</w:t>
            </w:r>
          </w:p>
        </w:tc>
        <w:tc>
          <w:tcPr/>
          <w:p>
            <w:pPr>
              <w:pStyle w:val="Compact"/>
            </w:pPr>
            <w:r>
              <w:rPr>
                <w:i/>
                <w:iCs/>
              </w:rPr>
              <w:t xml:space="preserve">&lt;Énoncé de l’invariant, p. ex. L’autorité doit toujours être explicite et traçable jusqu’au système de gouvernance — aucune personne ni aucun rôle ne peut détenir ou exercer une autorité non déclarée.&gt;</w:t>
            </w:r>
          </w:p>
        </w:tc>
        <w:tc>
          <w:tcPr/>
          <w:p>
            <w:pPr>
              <w:pStyle w:val="Compact"/>
            </w:pPr>
          </w:p>
        </w:tc>
        <w:tc>
          <w:tcPr/>
          <w:p>
            <w:pPr>
              <w:pStyle w:val="Compact"/>
            </w:pPr>
            <w:r>
              <w:t xml:space="preserve">[lien]</w:t>
            </w:r>
          </w:p>
        </w:tc>
      </w:tr>
      <w:tr>
        <w:tc>
          <w:tcPr/>
          <w:p>
            <w:pPr>
              <w:pStyle w:val="Compact"/>
            </w:pPr>
            <w:r>
              <w:t xml:space="preserve">INV-003</w:t>
            </w:r>
          </w:p>
        </w:tc>
        <w:tc>
          <w:tcPr/>
          <w:p>
            <w:pPr>
              <w:pStyle w:val="Compact"/>
            </w:pPr>
            <w:r>
              <w:rPr>
                <w:i/>
                <w:iCs/>
              </w:rPr>
              <w:t xml:space="preserve">&lt;Énoncé de l’invariant, p. ex. La sortie de la communauté doit toujours être possible et ne doit jamais être bloquée, pénalisée ou conditionnée au-delà de ce qui est défini dans la Couche 1.&gt;</w:t>
            </w:r>
          </w:p>
        </w:tc>
        <w:tc>
          <w:tcPr/>
          <w:p>
            <w:pPr>
              <w:pStyle w:val="Compact"/>
            </w:pPr>
          </w:p>
        </w:tc>
        <w:tc>
          <w:tcPr/>
          <w:p>
            <w:pPr>
              <w:pStyle w:val="Compact"/>
            </w:pPr>
            <w:r>
              <w:t xml:space="preserve">[lien]</w:t>
            </w:r>
          </w:p>
        </w:tc>
      </w:tr>
      <w:tr>
        <w:tc>
          <w:tcPr/>
          <w:p>
            <w:pPr>
              <w:pStyle w:val="Compact"/>
            </w:pPr>
            <w:r>
              <w:t xml:space="preserve">INV-004</w:t>
            </w:r>
          </w:p>
        </w:tc>
        <w:tc>
          <w:tcPr/>
          <w:p>
            <w:pPr>
              <w:pStyle w:val="Compact"/>
            </w:pPr>
            <w:r>
              <w:rPr>
                <w:i/>
                <w:iCs/>
              </w:rPr>
              <w:t xml:space="preserve">&lt;Énoncé de l’invariant.&gt;</w:t>
            </w:r>
          </w:p>
        </w:tc>
        <w:tc>
          <w:tcPr/>
          <w:p>
            <w:pPr>
              <w:pStyle w:val="Compact"/>
            </w:pPr>
          </w:p>
        </w:tc>
        <w:tc>
          <w:tcPr/>
          <w:p>
            <w:pPr>
              <w:pStyle w:val="Compact"/>
            </w:pPr>
            <w:r>
              <w:t xml:space="preserve">[lien]</w:t>
            </w:r>
          </w:p>
        </w:tc>
      </w:tr>
      <w:tr>
        <w:tc>
          <w:tcPr/>
          <w:p>
            <w:pPr>
              <w:pStyle w:val="Compact"/>
            </w:pPr>
            <w:r>
              <w:t xml:space="preserve">INV-005</w:t>
            </w:r>
          </w:p>
        </w:tc>
        <w:tc>
          <w:tcPr/>
          <w:p>
            <w:pPr>
              <w:pStyle w:val="Compact"/>
            </w:pPr>
            <w:r>
              <w:rPr>
                <w:i/>
                <w:iCs/>
              </w:rPr>
              <w:t xml:space="preserve">&lt;Énoncé de l’invariant.&gt;</w:t>
            </w:r>
          </w:p>
        </w:tc>
        <w:tc>
          <w:tcPr/>
          <w:p>
            <w:pPr>
              <w:pStyle w:val="Compact"/>
            </w:pPr>
          </w:p>
        </w:tc>
        <w:tc>
          <w:tcPr/>
          <w:p>
            <w:pPr>
              <w:pStyle w:val="Compact"/>
            </w:pPr>
            <w:r>
              <w:t xml:space="preserve">[lien]</w:t>
            </w:r>
          </w:p>
        </w:tc>
      </w:tr>
      <w:tr>
        <w:tc>
          <w:tcPr/>
          <w:p>
            <w:pPr>
              <w:pStyle w:val="Compact"/>
            </w:pPr>
            <w:r>
              <w:t xml:space="preserve">INV-006</w:t>
            </w:r>
          </w:p>
        </w:tc>
        <w:tc>
          <w:tcPr/>
          <w:p>
            <w:pPr>
              <w:pStyle w:val="Compact"/>
            </w:pPr>
            <w:r>
              <w:rPr>
                <w:i/>
                <w:iCs/>
              </w:rPr>
              <w:t xml:space="preserve">&lt;Énoncé de l’invariant, p. ex. La sécurité physique, psychologique et celle des enfants prévaut toujours sur les droits de participation, la continuité des rôles et les préoccupations de réputation.&gt;</w:t>
            </w:r>
          </w:p>
        </w:tc>
        <w:tc>
          <w:tcPr/>
          <w:p>
            <w:pPr>
              <w:pStyle w:val="Compact"/>
            </w:pPr>
          </w:p>
        </w:tc>
        <w:tc>
          <w:tcPr/>
          <w:p>
            <w:pPr>
              <w:pStyle w:val="Compact"/>
            </w:pPr>
            <w:r>
              <w:t xml:space="preserve">[lien]</w:t>
            </w:r>
          </w:p>
        </w:tc>
      </w:tr>
    </w:tbl>
    <w:p>
      <w:r>
        <w:pict>
          <v:rect style="width:0;height:1.5pt" o:hralign="center" o:hrstd="t" o:hr="t"/>
        </w:pict>
      </w:r>
    </w:p>
    <w:bookmarkEnd w:id="16"/>
    <w:bookmarkStart w:id="17" w:name="registre-de-ratification"/>
    <w:p>
      <w:pPr>
        <w:pStyle w:val="Heading2"/>
      </w:pPr>
      <w:r>
        <w:t xml:space="preserve">Registre de ratification</w:t>
      </w:r>
    </w:p>
    <w:p>
      <w:pPr>
        <w:pStyle w:val="Compact"/>
        <w:numPr>
          <w:ilvl w:val="0"/>
          <w:numId w:val="1003"/>
        </w:numPr>
      </w:pPr>
      <w:r>
        <w:rPr>
          <w:b/>
          <w:bCs/>
        </w:rPr>
        <w:t xml:space="preserve">Adopté :</w:t>
      </w:r>
      <w:r>
        <w:t xml:space="preserve"> </w:t>
      </w:r>
    </w:p>
    <w:p>
      <w:pPr>
        <w:pStyle w:val="Compact"/>
        <w:numPr>
          <w:ilvl w:val="0"/>
          <w:numId w:val="1003"/>
        </w:numPr>
      </w:pPr>
      <w:r>
        <w:rPr>
          <w:b/>
          <w:bCs/>
        </w:rPr>
        <w:t xml:space="preserve">Type de décision :</w:t>
      </w:r>
      <w:r>
        <w:t xml:space="preserve"> </w:t>
      </w:r>
      <w:r>
        <w:t xml:space="preserve">Constitutionnel</w:t>
      </w:r>
    </w:p>
    <w:p>
      <w:pPr>
        <w:pStyle w:val="Compact"/>
        <w:numPr>
          <w:ilvl w:val="0"/>
          <w:numId w:val="1003"/>
        </w:numPr>
      </w:pPr>
      <w:r>
        <w:rPr>
          <w:b/>
          <w:bCs/>
        </w:rPr>
        <w:t xml:space="preserve">Version :</w:t>
      </w:r>
      <w:r>
        <w:t xml:space="preserve"> </w:t>
      </w:r>
    </w:p>
    <w:p>
      <w:pPr>
        <w:pStyle w:val="Compact"/>
        <w:numPr>
          <w:ilvl w:val="0"/>
          <w:numId w:val="1003"/>
        </w:numPr>
      </w:pPr>
      <w:r>
        <w:rPr>
          <w:b/>
          <w:bCs/>
        </w:rPr>
        <w:t xml:space="preserve">Registre de décision :</w:t>
      </w:r>
      <w:r>
        <w:t xml:space="preserve"> </w:t>
      </w:r>
      <w:r>
        <w:t xml:space="preserve">&lt;lien vers le registre de décision&gt;</w:t>
      </w:r>
    </w:p>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0-identity-scope#23-invariants" TargetMode="External" /><Relationship Type="http://schemas.openxmlformats.org/officeDocument/2006/relationships/hyperlink" Id="rId15" Target="https://blueprint.ecohubs.community/fr/articles/rcos-core/v0-1/layer-0-identity-scope#25-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0/invariants-register"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0-identity-scope#23-invariants" TargetMode="External" /><Relationship Type="http://schemas.openxmlformats.org/officeDocument/2006/relationships/hyperlink" Id="rId15" Target="https://blueprint.ecohubs.community/fr/articles/rcos-core/v0-1/layer-0-identity-scope#25-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0/invariants-regi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2026-04-29T01:58:26Z</dcterms:created>
  <dcterms:modified xsi:type="dcterms:W3CDTF">2026-04-29T01:58:26Z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Registre des invariants</vt:lpwstr>
  </property>
</Properties>
</file>