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19" w:name="historial-de-versiones"/>
    <w:p>
      <w:pPr>
        <w:pStyle w:val="Heading1"/>
      </w:pPr>
      <w:r>
        <w:t xml:space="preserve">Historial de Versiones</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https://blueprint.ecohubs.community/es/articles/rcos-templates/layer-6/version-history</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6 — Evolución y Adaptación</w:t>
      </w:r>
    </w:p>
    <w:p>
      <w:pPr>
        <w:pStyle w:val="Compact"/>
        <w:numPr>
          <w:ilvl w:val="0"/>
          <w:numId w:val="1002"/>
        </w:numPr>
      </w:pPr>
      <w:r>
        <w:rPr>
          <w:b/>
          <w:bCs/>
        </w:rPr>
        <w:t xml:space="preserve">Estado:</w:t>
      </w:r>
      <w:r>
        <w:t xml:space="preserve"> </w:t>
      </w:r>
      <w:r>
        <w:t xml:space="preserve">Plantilla — adapta para tu comunidad; actualizada con cada cambio adoptado</w:t>
      </w:r>
    </w:p>
    <w:p>
      <w:pPr>
        <w:pStyle w:val="Compact"/>
        <w:numPr>
          <w:ilvl w:val="0"/>
          <w:numId w:val="1002"/>
        </w:numPr>
      </w:pPr>
      <w:r>
        <w:rPr>
          <w:b/>
          <w:bCs/>
        </w:rPr>
        <w:t xml:space="preserve">Referencia RCOS:</w:t>
      </w:r>
      <w:r>
        <w:t xml:space="preserve"> </w:t>
      </w:r>
      <w:hyperlink r:id="rId14">
        <w:r>
          <w:rPr>
            <w:rStyle w:val="Hyperlink"/>
          </w:rPr>
          <w:t xml:space="preserve">§8.2</w:t>
        </w:r>
      </w:hyperlink>
      <w:r>
        <w:t xml:space="preserve">,</w:t>
      </w:r>
      <w:r>
        <w:t xml:space="preserve"> </w:t>
      </w:r>
      <w:hyperlink r:id="rId15">
        <w:r>
          <w:rPr>
            <w:rStyle w:val="Hyperlink"/>
          </w:rPr>
          <w:t xml:space="preserve">§8.6</w:t>
        </w:r>
      </w:hyperlink>
    </w:p>
    <w:p>
      <w:pPr>
        <w:pStyle w:val="BlockText"/>
      </w:pPr>
      <w:r>
        <w:t xml:space="preserve">El registro legible por humanos y con carácter oficial de todos los cambios adoptados en la implementación RCOS de tu comunidad. La versión actualmente vigente es la entrada más reciente en la parte superior de este archivo. Las reglas sustituidas permanecen accesibles a través del control de versiones.</w:t>
      </w:r>
    </w:p>
    <w:p>
      <w:r>
        <w:pict>
          <v:rect style="width:0;height:1.5pt" o:hralign="center" o:hrstd="t" o:hr="t"/>
        </w:pict>
      </w:r>
    </w:p>
    <w:bookmarkStart w:id="17" w:name="formato-de-entrada"/>
    <w:p>
      <w:pPr>
        <w:pStyle w:val="Heading2"/>
      </w:pPr>
      <w:r>
        <w:t xml:space="preserve">Formato de Entrada</w:t>
      </w:r>
    </w:p>
    <w:p>
      <w:pPr>
        <w:pStyle w:val="FirstParagraph"/>
      </w:pPr>
      <w:r>
        <w:rPr>
          <w:i/>
          <w:iCs/>
        </w:rPr>
        <w:t xml:space="preserve">Cláusulas RCOS:</w:t>
      </w:r>
      <w:r>
        <w:rPr>
          <w:i/>
          <w:iCs/>
        </w:rPr>
        <w:t xml:space="preserve"> </w:t>
      </w:r>
      <w:hyperlink r:id="rId14">
        <w:r>
          <w:rPr>
            <w:rStyle w:val="Hyperlink"/>
            <w:i/>
            <w:iCs/>
          </w:rPr>
          <w:t xml:space="preserve">8.2.1</w:t>
        </w:r>
      </w:hyperlink>
      <w:r>
        <w:rPr>
          <w:i/>
          <w:iCs/>
        </w:rPr>
        <w:t xml:space="preserve">,</w:t>
      </w:r>
      <w:r>
        <w:rPr>
          <w:i/>
          <w:iCs/>
        </w:rPr>
        <w:t xml:space="preserve"> </w:t>
      </w:r>
      <w:hyperlink r:id="rId14">
        <w:r>
          <w:rPr>
            <w:rStyle w:val="Hyperlink"/>
            <w:i/>
            <w:iCs/>
          </w:rPr>
          <w:t xml:space="preserve">8.2.2</w:t>
        </w:r>
      </w:hyperlink>
      <w:r>
        <w:rPr>
          <w:i/>
          <w:iCs/>
        </w:rPr>
        <w:t xml:space="preserve">,</w:t>
      </w:r>
      <w:r>
        <w:rPr>
          <w:i/>
          <w:iCs/>
        </w:rPr>
        <w:t xml:space="preserve"> </w:t>
      </w:r>
      <w:hyperlink r:id="rId14">
        <w:r>
          <w:rPr>
            <w:rStyle w:val="Hyperlink"/>
            <w:i/>
            <w:iCs/>
          </w:rPr>
          <w:t xml:space="preserve">8.2.3</w:t>
        </w:r>
      </w:hyperlink>
      <w:r>
        <w:rPr>
          <w:i/>
          <w:iCs/>
        </w:rPr>
        <w:t xml:space="preserve">,</w:t>
      </w:r>
      <w:r>
        <w:rPr>
          <w:i/>
          <w:iCs/>
        </w:rPr>
        <w:t xml:space="preserve"> </w:t>
      </w:r>
      <w:hyperlink r:id="rId14">
        <w:r>
          <w:rPr>
            <w:rStyle w:val="Hyperlink"/>
            <w:i/>
            <w:iCs/>
          </w:rPr>
          <w:t xml:space="preserve">8.2.4</w:t>
        </w:r>
      </w:hyperlink>
      <w:r>
        <w:rPr>
          <w:i/>
          <w:iCs/>
        </w:rPr>
        <w:t xml:space="preserve">,</w:t>
      </w:r>
      <w:r>
        <w:rPr>
          <w:i/>
          <w:iCs/>
        </w:rPr>
        <w:t xml:space="preserve"> </w:t>
      </w:r>
      <w:hyperlink r:id="rId14">
        <w:r>
          <w:rPr>
            <w:rStyle w:val="Hyperlink"/>
            <w:i/>
            <w:iCs/>
          </w:rPr>
          <w:t xml:space="preserve">8.2.5</w:t>
        </w:r>
      </w:hyperlink>
      <w:r>
        <w:rPr>
          <w:i/>
          <w:iCs/>
        </w:rPr>
        <w:t xml:space="preserve">,</w:t>
      </w:r>
      <w:r>
        <w:rPr>
          <w:i/>
          <w:iCs/>
        </w:rPr>
        <w:t xml:space="preserve"> </w:t>
      </w:r>
      <w:hyperlink r:id="rId15">
        <w:r>
          <w:rPr>
            <w:rStyle w:val="Hyperlink"/>
            <w:i/>
            <w:iCs/>
          </w:rPr>
          <w:t xml:space="preserve">8.6.4</w:t>
        </w:r>
      </w:hyperlink>
      <w:r>
        <w:rPr>
          <w:i/>
          <w:iCs/>
        </w:rPr>
        <w:t xml:space="preserve">,</w:t>
      </w:r>
      <w:r>
        <w:rPr>
          <w:i/>
          <w:iCs/>
        </w:rPr>
        <w:t xml:space="preserve"> </w:t>
      </w:r>
      <w:hyperlink r:id="rId16">
        <w:r>
          <w:rPr>
            <w:rStyle w:val="Hyperlink"/>
            <w:i/>
            <w:iCs/>
          </w:rPr>
          <w:t xml:space="preserve">8.7.2</w:t>
        </w:r>
      </w:hyperlink>
    </w:p>
    <w:p>
      <w:pPr>
        <w:pStyle w:val="BlockText"/>
      </w:pPr>
      <w:r>
        <w:rPr>
          <w:b/>
          <w:bCs/>
        </w:rPr>
        <w:t xml:space="preserve">Justificación — ¿Por qué registrar cada cambio adoptado</w:t>
      </w:r>
    </w:p>
    <w:p>
      <w:pPr>
        <w:pStyle w:val="BlockText"/>
      </w:pPr>
      <w:r>
        <w:t xml:space="preserve">Una gobernanza que no puede señalar</w:t>
      </w:r>
      <w:r>
        <w:t xml:space="preserve"> </w:t>
      </w:r>
      <w:r>
        <w:t xml:space="preserve">“qué cambió, cuándo y por qué”</w:t>
      </w:r>
      <w:r>
        <w:t xml:space="preserve"> </w:t>
      </w:r>
      <w:r>
        <w:t xml:space="preserve">es indistinguible de una gobernanza donde manda quien más alto habla. Un único registro de solo-anexión de cambios adoptados — con las versiones sustituidas preservadas en el control de versiones — hace que el estado actual de las reglas sea inequívoco y ofrece a los miembros, auditores y futuros responsables una forma de reconstruir el camino que nos trajo hasta aquí.</w:t>
      </w:r>
    </w:p>
    <w:p>
      <w:pPr>
        <w:pStyle w:val="BlockText"/>
      </w:pPr>
      <w:r>
        <w:rPr>
          <w:b/>
          <w:bCs/>
        </w:rPr>
        <w:t xml:space="preserve">Instrucciones — Cómo rellenar esto</w:t>
      </w:r>
    </w:p>
    <w:p>
      <w:pPr>
        <w:pStyle w:val="BlockText"/>
      </w:pPr>
      <w:r>
        <w:t xml:space="preserve">Usa la plantilla de entrada a continuación para cada cambio adoptado. Las nuevas entradas se anteponen por encima de la más reciente. No edites entradas históricas — las correcciones se registran como nuevas entradas.</w:t>
      </w:r>
    </w:p>
    <w:p>
      <w:pPr>
        <w:pStyle w:val="SourceCode"/>
      </w:pPr>
      <w:r>
        <w:rPr>
          <w:rStyle w:val="FunctionTok"/>
        </w:rPr>
        <w:t xml:space="preserve">## &lt;versión&gt; — &lt;Título breve&gt;</w:t>
      </w:r>
      <w:r>
        <w:br/>
      </w:r>
      <w:r>
        <w:br/>
      </w:r>
      <w:r>
        <w:rPr>
          <w:rStyle w:val="SpecialStringTok"/>
        </w:rPr>
        <w:t xml:space="preserve">- </w:t>
      </w:r>
      <w:r>
        <w:rPr>
          <w:rStyle w:val="NormalTok"/>
        </w:rPr>
        <w:t xml:space="preserve">**Fecha de entrada en vigor:** </w:t>
      </w:r>
      <w:r>
        <w:rPr>
          <w:rStyle w:val="DataTypeTok"/>
        </w:rPr>
        <w:t xml:space="preserve">&lt;</w:t>
      </w:r>
      <w:r>
        <w:rPr>
          <w:rStyle w:val="KeywordTok"/>
        </w:rPr>
        <w:t xml:space="preserve">AAAA-MM-DD</w:t>
      </w:r>
      <w:r>
        <w:rPr>
          <w:rStyle w:val="DataTypeTok"/>
        </w:rPr>
        <w:t xml:space="preserve">&gt;</w:t>
      </w:r>
      <w:r>
        <w:br/>
      </w:r>
      <w:r>
        <w:rPr>
          <w:rStyle w:val="SpecialStringTok"/>
        </w:rPr>
        <w:t xml:space="preserve">- </w:t>
      </w:r>
      <w:r>
        <w:rPr>
          <w:rStyle w:val="NormalTok"/>
        </w:rPr>
        <w:t xml:space="preserve">**Registro de decisión:** </w:t>
      </w:r>
      <w:r>
        <w:rPr>
          <w:rStyle w:val="DataTypeTok"/>
        </w:rPr>
        <w:t xml:space="preserve">&lt;</w:t>
      </w:r>
      <w:r>
        <w:rPr>
          <w:rStyle w:val="KeywordTok"/>
        </w:rPr>
        <w:t xml:space="preserve">enlace</w:t>
      </w:r>
      <w:r>
        <w:rPr>
          <w:rStyle w:val="OtherTok"/>
        </w:rPr>
        <w:t xml:space="preserve"> al registro de decisión</w:t>
      </w:r>
      <w:r>
        <w:rPr>
          <w:rStyle w:val="DataTypeTok"/>
        </w:rPr>
        <w:t xml:space="preserve">&gt;</w:t>
      </w:r>
      <w:r>
        <w:br/>
      </w:r>
      <w:r>
        <w:rPr>
          <w:rStyle w:val="SpecialStringTok"/>
        </w:rPr>
        <w:t xml:space="preserve">- </w:t>
      </w:r>
      <w:r>
        <w:rPr>
          <w:rStyle w:val="NormalTok"/>
        </w:rPr>
        <w:t xml:space="preserve">**Tipo de decisión:** </w:t>
      </w:r>
      <w:r>
        <w:rPr>
          <w:rStyle w:val="DataTypeTok"/>
        </w:rPr>
        <w:t xml:space="preserve">&lt;</w:t>
      </w:r>
      <w:r>
        <w:rPr>
          <w:rStyle w:val="KeywordTok"/>
        </w:rPr>
        <w:t xml:space="preserve">Operativa</w:t>
      </w:r>
      <w:r>
        <w:rPr>
          <w:rStyle w:val="OtherTok"/>
        </w:rPr>
        <w:t xml:space="preserve"> </w:t>
      </w:r>
      <w:r>
        <w:rPr>
          <w:rStyle w:val="ErrorTok"/>
        </w:rPr>
        <w:t xml:space="preserve">/</w:t>
      </w:r>
      <w:r>
        <w:rPr>
          <w:rStyle w:val="OtherTok"/>
        </w:rPr>
        <w:t xml:space="preserve"> Estratégica </w:t>
      </w:r>
      <w:r>
        <w:rPr>
          <w:rStyle w:val="ErrorTok"/>
        </w:rPr>
        <w:t xml:space="preserve">/</w:t>
      </w:r>
      <w:r>
        <w:rPr>
          <w:rStyle w:val="OtherTok"/>
        </w:rPr>
        <w:t xml:space="preserve"> Constitucional</w:t>
      </w:r>
      <w:r>
        <w:rPr>
          <w:rStyle w:val="DataTypeTok"/>
        </w:rPr>
        <w:t xml:space="preserve">&gt;</w:t>
      </w:r>
      <w:r>
        <w:br/>
      </w:r>
      <w:r>
        <w:rPr>
          <w:rStyle w:val="SpecialStringTok"/>
        </w:rPr>
        <w:t xml:space="preserve">- </w:t>
      </w:r>
      <w:r>
        <w:rPr>
          <w:rStyle w:val="NormalTok"/>
        </w:rPr>
        <w:t xml:space="preserve">**Mecanismo:** </w:t>
      </w:r>
      <w:r>
        <w:rPr>
          <w:rStyle w:val="DataTypeTok"/>
        </w:rPr>
        <w:t xml:space="preserve">&lt;</w:t>
      </w:r>
      <w:r>
        <w:rPr>
          <w:rStyle w:val="KeywordTok"/>
        </w:rPr>
        <w:t xml:space="preserve">mecanismo</w:t>
      </w:r>
      <w:r>
        <w:rPr>
          <w:rStyle w:val="OtherTok"/>
        </w:rPr>
        <w:t xml:space="preserve"> de votación </w:t>
      </w:r>
      <w:r>
        <w:rPr>
          <w:rStyle w:val="ErrorTok"/>
        </w:rPr>
        <w:t xml:space="preserve">/</w:t>
      </w:r>
      <w:r>
        <w:rPr>
          <w:rStyle w:val="OtherTok"/>
        </w:rPr>
        <w:t xml:space="preserve"> autoridad delegada</w:t>
      </w:r>
      <w:r>
        <w:rPr>
          <w:rStyle w:val="DataTypeTok"/>
        </w:rPr>
        <w:t xml:space="preserve">&gt;</w:t>
      </w:r>
      <w:r>
        <w:br/>
      </w:r>
      <w:r>
        <w:rPr>
          <w:rStyle w:val="SpecialStringTok"/>
        </w:rPr>
        <w:t xml:space="preserve">- </w:t>
      </w:r>
      <w:r>
        <w:rPr>
          <w:rStyle w:val="NormalTok"/>
        </w:rPr>
        <w:t xml:space="preserve">**Resumen:** </w:t>
      </w:r>
      <w:r>
        <w:rPr>
          <w:rStyle w:val="DataTypeTok"/>
        </w:rPr>
        <w:t xml:space="preserve">&lt;</w:t>
      </w:r>
      <w:r>
        <w:rPr>
          <w:rStyle w:val="KeywordTok"/>
        </w:rPr>
        <w:t xml:space="preserve">una</w:t>
      </w:r>
      <w:r>
        <w:rPr>
          <w:rStyle w:val="OtherTok"/>
        </w:rPr>
        <w:t xml:space="preserve"> a tres frases describiendo qué cambió.</w:t>
      </w:r>
      <w:r>
        <w:rPr>
          <w:rStyle w:val="DataTypeTok"/>
        </w:rPr>
        <w:t xml:space="preserve">&gt;</w:t>
      </w:r>
      <w:r>
        <w:br/>
      </w:r>
      <w:r>
        <w:rPr>
          <w:rStyle w:val="SpecialStringTok"/>
        </w:rPr>
        <w:t xml:space="preserve">- </w:t>
      </w:r>
      <w:r>
        <w:rPr>
          <w:rStyle w:val="NormalTok"/>
        </w:rPr>
        <w:t xml:space="preserve">**Capas afectadas:** </w:t>
      </w:r>
      <w:r>
        <w:rPr>
          <w:rStyle w:val="DataTypeTok"/>
        </w:rPr>
        <w:t xml:space="preserve">&lt;</w:t>
      </w:r>
      <w:r>
        <w:rPr>
          <w:rStyle w:val="KeywordTok"/>
        </w:rPr>
        <w:t xml:space="preserve">p.</w:t>
      </w:r>
      <w:r>
        <w:rPr>
          <w:rStyle w:val="OtherTok"/>
        </w:rPr>
        <w:t xml:space="preserve"> ej. Capa </w:t>
      </w:r>
      <w:r>
        <w:rPr>
          <w:rStyle w:val="ErrorTok"/>
        </w:rPr>
        <w:t xml:space="preserve">2,</w:t>
      </w:r>
      <w:r>
        <w:rPr>
          <w:rStyle w:val="OtherTok"/>
        </w:rPr>
        <w:t xml:space="preserve"> Capa </w:t>
      </w:r>
      <w:r>
        <w:rPr>
          <w:rStyle w:val="ErrorTok"/>
        </w:rPr>
        <w:t xml:space="preserve">5</w:t>
      </w:r>
      <w:r>
        <w:rPr>
          <w:rStyle w:val="DataTypeTok"/>
        </w:rPr>
        <w:t xml:space="preserve">&gt;</w:t>
      </w:r>
      <w:r>
        <w:br/>
      </w:r>
      <w:r>
        <w:rPr>
          <w:rStyle w:val="SpecialStringTok"/>
        </w:rPr>
        <w:t xml:space="preserve">- </w:t>
      </w:r>
      <w:r>
        <w:rPr>
          <w:rStyle w:val="NormalTok"/>
        </w:rPr>
        <w:t xml:space="preserve">**Artefactos modificados:** </w:t>
      </w:r>
      <w:r>
        <w:rPr>
          <w:rStyle w:val="DataTypeTok"/>
        </w:rPr>
        <w:t xml:space="preserve">&lt;</w:t>
      </w:r>
      <w:r>
        <w:rPr>
          <w:rStyle w:val="KeywordTok"/>
        </w:rPr>
        <w:t xml:space="preserve">lista</w:t>
      </w:r>
      <w:r>
        <w:rPr>
          <w:rStyle w:val="OtherTok"/>
        </w:rPr>
        <w:t xml:space="preserve"> de artefactos</w:t>
      </w:r>
      <w:r>
        <w:rPr>
          <w:rStyle w:val="DataTypeTok"/>
        </w:rPr>
        <w:t xml:space="preserve">&gt;</w:t>
      </w:r>
      <w:r>
        <w:br/>
      </w:r>
      <w:r>
        <w:rPr>
          <w:rStyle w:val="SpecialStringTok"/>
        </w:rPr>
        <w:t xml:space="preserve">- </w:t>
      </w:r>
      <w:r>
        <w:rPr>
          <w:rStyle w:val="NormalTok"/>
        </w:rPr>
        <w:t xml:space="preserve">**Notas de migración:** </w:t>
      </w:r>
      <w:r>
        <w:rPr>
          <w:rStyle w:val="DataTypeTok"/>
        </w:rPr>
        <w:t xml:space="preserve">&lt;</w:t>
      </w:r>
      <w:r>
        <w:rPr>
          <w:rStyle w:val="KeywordTok"/>
        </w:rPr>
        <w:t xml:space="preserve">cualquier</w:t>
      </w:r>
      <w:r>
        <w:rPr>
          <w:rStyle w:val="OtherTok"/>
        </w:rPr>
        <w:t xml:space="preserve"> regla de transición</w:t>
      </w:r>
      <w:r>
        <w:rPr>
          <w:rStyle w:val="ErrorTok"/>
        </w:rPr>
        <w:t xml:space="preserve">;</w:t>
      </w:r>
      <w:r>
        <w:rPr>
          <w:rStyle w:val="OtherTok"/>
        </w:rPr>
        <w:t xml:space="preserve"> </w:t>
      </w:r>
      <w:r>
        <w:rPr>
          <w:rStyle w:val="ErrorTok"/>
        </w:rPr>
        <w:t xml:space="preserve">"</w:t>
      </w:r>
      <w:r>
        <w:rPr>
          <w:rStyle w:val="OtherTok"/>
        </w:rPr>
        <w:t xml:space="preserve">ninguna</w:t>
      </w:r>
      <w:r>
        <w:rPr>
          <w:rStyle w:val="ErrorTok"/>
        </w:rPr>
        <w:t xml:space="preserve">"</w:t>
      </w:r>
      <w:r>
        <w:rPr>
          <w:rStyle w:val="OtherTok"/>
        </w:rPr>
        <w:t xml:space="preserve"> si no aplica</w:t>
      </w:r>
      <w:r>
        <w:rPr>
          <w:rStyle w:val="DataTypeTok"/>
        </w:rPr>
        <w:t xml:space="preserve">&gt;</w:t>
      </w:r>
    </w:p>
    <w:p>
      <w:r>
        <w:pict>
          <v:rect style="width:0;height:1.5pt" o:hralign="center" o:hrstd="t" o:hr="t"/>
        </w:pict>
      </w:r>
    </w:p>
    <w:bookmarkEnd w:id="17"/>
    <w:bookmarkStart w:id="18" w:name="X6b79a4bd9064f7db585bd778a78d5f3ea9a6031"/>
    <w:p>
      <w:pPr>
        <w:pStyle w:val="Heading2"/>
      </w:pPr>
      <w:r>
        <w:t xml:space="preserve">Versión Actual: v0.0 — Repositorio Inicializado</w:t>
      </w:r>
    </w:p>
    <w:p>
      <w:pPr>
        <w:pStyle w:val="Compact"/>
        <w:numPr>
          <w:ilvl w:val="0"/>
          <w:numId w:val="1003"/>
        </w:numPr>
      </w:pPr>
      <w:r>
        <w:rPr>
          <w:b/>
          <w:bCs/>
        </w:rPr>
        <w:t xml:space="preserve">Fecha de entrada en vigor:</w:t>
      </w:r>
      <w:r>
        <w:t xml:space="preserve"> </w:t>
      </w:r>
    </w:p>
    <w:p>
      <w:pPr>
        <w:pStyle w:val="Compact"/>
        <w:numPr>
          <w:ilvl w:val="0"/>
          <w:numId w:val="1003"/>
        </w:numPr>
      </w:pPr>
      <w:r>
        <w:rPr>
          <w:b/>
          <w:bCs/>
        </w:rPr>
        <w:t xml:space="preserve">Registro de decisión:</w:t>
      </w:r>
      <w:r>
        <w:t xml:space="preserve"> </w:t>
      </w:r>
      <w:r>
        <w:t xml:space="preserve">N/A — andamiaje inicial</w:t>
      </w:r>
    </w:p>
    <w:p>
      <w:pPr>
        <w:pStyle w:val="Compact"/>
        <w:numPr>
          <w:ilvl w:val="0"/>
          <w:numId w:val="1003"/>
        </w:numPr>
      </w:pPr>
      <w:r>
        <w:rPr>
          <w:b/>
          <w:bCs/>
        </w:rPr>
        <w:t xml:space="preserve">Tipo de decisión:</w:t>
      </w:r>
      <w:r>
        <w:t xml:space="preserve"> </w:t>
      </w:r>
      <w:r>
        <w:t xml:space="preserve">N/A</w:t>
      </w:r>
    </w:p>
    <w:p>
      <w:pPr>
        <w:pStyle w:val="Compact"/>
        <w:numPr>
          <w:ilvl w:val="0"/>
          <w:numId w:val="1003"/>
        </w:numPr>
      </w:pPr>
      <w:r>
        <w:rPr>
          <w:b/>
          <w:bCs/>
        </w:rPr>
        <w:t xml:space="preserve">Mecanismo:</w:t>
      </w:r>
      <w:r>
        <w:t xml:space="preserve"> </w:t>
      </w:r>
      <w:r>
        <w:t xml:space="preserve">N/A</w:t>
      </w:r>
    </w:p>
    <w:p>
      <w:pPr>
        <w:pStyle w:val="Compact"/>
        <w:numPr>
          <w:ilvl w:val="0"/>
          <w:numId w:val="1003"/>
        </w:numPr>
      </w:pPr>
      <w:r>
        <w:rPr>
          <w:b/>
          <w:bCs/>
        </w:rPr>
        <w:t xml:space="preserve">Resumen:</w:t>
      </w:r>
      <w:r>
        <w:t xml:space="preserve"> </w:t>
      </w:r>
      <w:r>
        <w:t xml:space="preserve">Plantillas inicializadas. Todos los artefactos son plantillas — aún no se ha adoptado ninguna regla.</w:t>
      </w:r>
    </w:p>
    <w:p>
      <w:pPr>
        <w:pStyle w:val="Compact"/>
        <w:numPr>
          <w:ilvl w:val="0"/>
          <w:numId w:val="1003"/>
        </w:numPr>
      </w:pPr>
      <w:r>
        <w:rPr>
          <w:b/>
          <w:bCs/>
        </w:rPr>
        <w:t xml:space="preserve">Capas afectadas:</w:t>
      </w:r>
      <w:r>
        <w:t xml:space="preserve"> </w:t>
      </w:r>
      <w:r>
        <w:t xml:space="preserve">Todas (solo andamiaje)</w:t>
      </w:r>
    </w:p>
    <w:p>
      <w:pPr>
        <w:pStyle w:val="Compact"/>
        <w:numPr>
          <w:ilvl w:val="0"/>
          <w:numId w:val="1003"/>
        </w:numPr>
      </w:pPr>
      <w:r>
        <w:rPr>
          <w:b/>
          <w:bCs/>
        </w:rPr>
        <w:t xml:space="preserve">Artefactos modificados:</w:t>
      </w:r>
      <w:r>
        <w:t xml:space="preserve"> </w:t>
      </w:r>
      <w:r>
        <w:t xml:space="preserve">Todos los archivos creados como plantillas</w:t>
      </w:r>
    </w:p>
    <w:p>
      <w:pPr>
        <w:pStyle w:val="Compact"/>
        <w:numPr>
          <w:ilvl w:val="0"/>
          <w:numId w:val="1003"/>
        </w:numPr>
      </w:pPr>
      <w:r>
        <w:rPr>
          <w:b/>
          <w:bCs/>
        </w:rPr>
        <w:t xml:space="preserve">Notas de migración:</w:t>
      </w:r>
      <w:r>
        <w:t xml:space="preserve"> </w:t>
      </w:r>
      <w:r>
        <w:t xml:space="preserve">Ninguna — estado inicial</w:t>
      </w:r>
    </w:p>
    <w:p>
      <w:r>
        <w:pict>
          <v:rect style="width:0;height:1.5pt" o:hralign="center" o:hrstd="t" o:hr="t"/>
        </w:pict>
      </w:r>
    </w:p>
    <w:p>
      <w:pPr>
        <w:pStyle w:val="FirstParagraph"/>
      </w:pPr>
      <w:r>
        <w:rPr>
          <w:i/>
          <w:iCs/>
        </w:rPr>
        <w:t xml:space="preserve">Las nuevas entradas se anteponen por encima de esta línea.</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6-evolution-adaptation#82-versioning-and-authority" TargetMode="External" /><Relationship Type="http://schemas.openxmlformats.org/officeDocument/2006/relationships/hyperlink" Id="rId15" Target="https://blueprint.ecohubs.community/es/articles/rcos-core/v0-1/layer-6-evolution-adaptation#86-artifacts" TargetMode="External" /><Relationship Type="http://schemas.openxmlformats.org/officeDocument/2006/relationships/hyperlink" Id="rId16" Target="https://blueprint.ecohubs.community/es/articles/rcos-core/v0-1/layer-6-evolution-adaptation#87-layer-invarian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6/version-histo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6-evolution-adaptation#82-versioning-and-authority" TargetMode="External" /><Relationship Type="http://schemas.openxmlformats.org/officeDocument/2006/relationships/hyperlink" Id="rId15" Target="https://blueprint.ecohubs.community/es/articles/rcos-core/v0-1/layer-6-evolution-adaptation#86-artifacts" TargetMode="External" /><Relationship Type="http://schemas.openxmlformats.org/officeDocument/2006/relationships/hyperlink" Id="rId16" Target="https://blueprint.ecohubs.community/es/articles/rcos-core/v0-1/layer-6-evolution-adaptation#87-layer-invarian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6/version-his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2026-04-29T01:58:24Z</dcterms:created>
  <dcterms:modified xsi:type="dcterms:W3CDTF">2026-04-29T01:58:24Z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Historial de Versiones</vt:lpwstr>
  </property>
</Properties>
</file>