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19" w:name="registro-de-aprendizajes"/>
    <w:p>
      <w:pPr>
        <w:pStyle w:val="Heading1"/>
      </w:pPr>
      <w:r>
        <w:t xml:space="preserve">Registro de Aprendizajes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https://blueprint.ecohubs.community/es/articles/rcos-templates/layer-6/learning-log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6 — Evolución y Adaptación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 para tu comunidad; se actualiza cuando ocurren eventos de aprendizaje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§8.4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§8.6</w:t>
        </w:r>
      </w:hyperlink>
    </w:p>
    <w:p>
      <w:pPr>
        <w:pStyle w:val="BlockText"/>
      </w:pPr>
      <w:r>
        <w:t xml:space="preserve">Registra fallos importantes, adaptaciones, reversiones y aprendizajes sistémicos. Los patrones de fallo recurrentes DEBEN activar una revisión estructural, no culpa individual. Las entradas se añaden al inicio (las más recientes primero).</w:t>
      </w:r>
    </w:p>
    <w:p>
      <w:r>
        <w:pict>
          <v:rect style="width:0;height:1.5pt" o:hralign="center" o:hrstd="t" o:hr="t"/>
        </w:pict>
      </w:r>
    </w:p>
    <w:bookmarkStart w:id="17" w:name="qué-constituye-un-evento-de-aprendizaje"/>
    <w:p>
      <w:pPr>
        <w:pStyle w:val="Heading2"/>
      </w:pPr>
      <w:r>
        <w:t xml:space="preserve">Qué constituye un evento de aprendizaje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8.4.1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8.4.4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8.6.5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8.7.4</w:t>
        </w:r>
      </w:hyperlink>
    </w:p>
    <w:p>
      <w:pPr>
        <w:pStyle w:val="BlockText"/>
      </w:pPr>
      <w:r>
        <w:rPr>
          <w:b/>
          <w:bCs/>
        </w:rPr>
        <w:t xml:space="preserve">Justificación — ¿Por qué definir el detonante explícitamente</w:t>
      </w:r>
    </w:p>
    <w:p>
      <w:pPr>
        <w:pStyle w:val="BlockText"/>
      </w:pPr>
      <w:r>
        <w:t xml:space="preserve">Si</w:t>
      </w:r>
      <w:r>
        <w:t xml:space="preserve"> </w:t>
      </w:r>
      <w:r>
        <w:t xml:space="preserve">“deberíamos aprender de esto”</w:t>
      </w:r>
      <w:r>
        <w:t xml:space="preserve"> </w:t>
      </w:r>
      <w:r>
        <w:t xml:space="preserve">queda a criterio individual, las lecciones más difíciles — las que implican conflicto, fracaso o vergüenza — son las que más probablemente quedarán sin registrar. Nombrar los eventos específicos que DEBEN producir una entrada elimina la pregunta del momento, y asegura que los aprendizajes incómodos se capturen en lugar de dejarse pasar en silencio.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Enumera los eventos específicos que obligan a crear una entrada en el Registro de Aprendizajes. Indica quién es responsable del registro y la cadencia de síntesis.</w:t>
      </w:r>
    </w:p>
    <w:p>
      <w:pPr>
        <w:pStyle w:val="FirstParagraph"/>
      </w:pPr>
      <w:r>
        <w:t xml:space="preserve">Se DEBE añadir una entrada cuando ocurra cualquiera de los siguientes eventos: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&lt;Una decisión de gobernanza se revierte, se deshace, o se descubre que contradice otra regla adoptada.&gt;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&lt;Un experimento concluye (éxito, fracaso o terminación anticipada).&gt;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&lt;Un conflicto escala al paso de gobernanza de la Escalera de Resolución de Conflictos.&gt;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&lt;Se identifica un fallo estructural o sistémico que causó daño, confusión o quiebres repetidos del proceso.&gt;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&lt;Se adopta una adaptación importante de las operaciones comunitarias que cambia significativamente el funcionamiento de una capa.&gt;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&lt;Un cuasi-incidente: una situación que podría haber causado daño significativo pero fue detectada antes de que ocurriera.&gt;</w:t>
      </w:r>
    </w:p>
    <w:p>
      <w:pPr>
        <w:pStyle w:val="Compact"/>
        <w:numPr>
          <w:ilvl w:val="0"/>
          <w:numId w:val="1003"/>
        </w:numPr>
      </w:pPr>
    </w:p>
    <w:p>
      <w:pPr>
        <w:pStyle w:val="FirstParagraph"/>
      </w:pPr>
      <w:r>
        <w:rPr>
          <w:i/>
          <w:iCs/>
        </w:rPr>
        <w:t xml:space="preserve">&lt;Los ajustes operativos menores, las decisiones rutinarias y los asuntos individuales resueltos completamente en los primeros pasos de la Escalera de Resolución de Conflictos no requieren una entrada en el Registro de Aprendizajes.&gt;</w:t>
      </w:r>
    </w:p>
    <w:p>
      <w:pPr>
        <w:pStyle w:val="BodyText"/>
      </w:pPr>
      <w:r>
        <w:rPr>
          <w:b/>
          <w:bCs/>
        </w:rPr>
        <w:t xml:space="preserve">Responsable:</w:t>
      </w:r>
      <w:r>
        <w:t xml:space="preserve"> </w:t>
      </w:r>
    </w:p>
    <w:p>
      <w:pPr>
        <w:pStyle w:val="BodyText"/>
      </w:pPr>
      <w:r>
        <w:rPr>
          <w:b/>
          <w:bCs/>
        </w:rPr>
        <w:t xml:space="preserve">Cadencia de síntesis:</w:t>
      </w:r>
      <w:r>
        <w:t xml:space="preserve"> </w:t>
      </w:r>
      <w:r>
        <w:rPr>
          <w:i/>
          <w:iCs/>
        </w:rPr>
        <w:t xml:space="preserve">&lt;el Registro de Aprendizajes se revisa en la reunión de Reflexión y Aprendizaje; el rol designado prepara una síntesis breve de las entradas desde la última revisión, señalando patrones recurrentes.&gt;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Aún no hay entradas. La primera entrada se añadirá cuando ocurra el primer evento de aprendizaje.</w:t>
      </w:r>
    </w:p>
    <w:p>
      <w:r>
        <w:pict>
          <v:rect style="width:0;height:1.5pt" o:hralign="center" o:hrstd="t" o:hr="t"/>
        </w:pict>
      </w:r>
    </w:p>
    <w:bookmarkEnd w:id="17"/>
    <w:bookmarkStart w:id="18" w:name="formato-de-entrada"/>
    <w:p>
      <w:pPr>
        <w:pStyle w:val="Heading2"/>
      </w:pPr>
      <w:r>
        <w:t xml:space="preserve">Formato de entrada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8.4.3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8.6.5</w:t>
        </w:r>
      </w:hyperlink>
    </w:p>
    <w:p>
      <w:pPr>
        <w:pStyle w:val="BlockText"/>
      </w:pPr>
      <w:r>
        <w:rPr>
          <w:b/>
          <w:bCs/>
        </w:rPr>
        <w:t xml:space="preserve">Justificación — ¿Por qué una plantilla fija de entrada</w:t>
      </w:r>
    </w:p>
    <w:p>
      <w:pPr>
        <w:pStyle w:val="BlockText"/>
      </w:pPr>
      <w:r>
        <w:t xml:space="preserve">La reflexión libre es valiosa, pero no se agrega. Un esquema consistente — detonante, señales, qué cambió, resultado, responsable de seguimiento — permite recorrer años de entradas buscando patrones recurrentes y convertir incidentes aislados en evidencia estructural. También obliga a cada entrada a nombrar un responsable, para que el aprendizaje no se detenga en</w:t>
      </w:r>
      <w:r>
        <w:t xml:space="preserve"> </w:t>
      </w:r>
      <w:r>
        <w:t xml:space="preserve">“lo notamos”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Usa la plantilla de abajo para cada entrada. Cada campo impone una perspectiva distinta sobre el evento; no omitas el responsable de seguimiento.</w:t>
      </w:r>
    </w:p>
    <w:p>
      <w:pPr>
        <w:pStyle w:val="SourceCode"/>
      </w:pPr>
      <w:r>
        <w:rPr>
          <w:rStyle w:val="FunctionTok"/>
        </w:rPr>
        <w:t xml:space="preserve">## &lt;AAAA-MM-DD&gt; — &lt;Título breve&gt;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**Detonante:** 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Qué</w:t>
      </w:r>
      <w:r>
        <w:rPr>
          <w:rStyle w:val="OtherTok"/>
        </w:rPr>
        <w:t xml:space="preserve"> ocurrió que motivó esta entrada</w:t>
      </w:r>
      <w:r>
        <w:rPr>
          <w:rStyle w:val="DataTypeTok"/>
        </w:rPr>
        <w:t xml:space="preserve">&gt;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**Capas/artefactos implicados:** 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p.</w:t>
      </w:r>
      <w:r>
        <w:rPr>
          <w:rStyle w:val="OtherTok"/>
        </w:rPr>
        <w:t xml:space="preserve"> ej. Capa </w:t>
      </w:r>
      <w:r>
        <w:rPr>
          <w:rStyle w:val="ErrorTok"/>
        </w:rPr>
        <w:t xml:space="preserve">2</w:t>
      </w:r>
      <w:r>
        <w:rPr>
          <w:rStyle w:val="OtherTok"/>
        </w:rPr>
        <w:t xml:space="preserve"> </w:t>
      </w:r>
      <w:r>
        <w:rPr>
          <w:rStyle w:val="ErrorTok"/>
        </w:rPr>
        <w:t xml:space="preserve">—</w:t>
      </w:r>
      <w:r>
        <w:rPr>
          <w:rStyle w:val="OtherTok"/>
        </w:rPr>
        <w:t xml:space="preserve"> Protocolo de Gobernanza</w:t>
      </w:r>
      <w:r>
        <w:rPr>
          <w:rStyle w:val="DataTypeTok"/>
        </w:rPr>
        <w:t xml:space="preserve">&gt;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**Qué ocurrió:** 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Narrativa</w:t>
      </w:r>
      <w:r>
        <w:rPr>
          <w:rStyle w:val="OtherTok"/>
        </w:rPr>
        <w:t xml:space="preserve"> breve</w:t>
      </w:r>
      <w:r>
        <w:rPr>
          <w:rStyle w:val="DataTypeTok"/>
        </w:rPr>
        <w:t xml:space="preserve">&gt;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**Señales que activaron la acción:** 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Qué</w:t>
      </w:r>
      <w:r>
        <w:rPr>
          <w:rStyle w:val="OtherTok"/>
        </w:rPr>
        <w:t xml:space="preserve"> hizo visible el problema</w:t>
      </w:r>
      <w:r>
        <w:rPr>
          <w:rStyle w:val="DataTypeTok"/>
        </w:rPr>
        <w:t xml:space="preserve">&gt;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**Qué se cambió o intentó:** &lt;Decisión, experimento o cambio de regla&gt;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**Resultado:** 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Resultado</w:t>
      </w:r>
      <w:r>
        <w:rPr>
          <w:rStyle w:val="OtherTok"/>
        </w:rPr>
        <w:t xml:space="preserve"> tras la revisión</w:t>
      </w:r>
      <w:r>
        <w:rPr>
          <w:rStyle w:val="ErrorTok"/>
        </w:rPr>
        <w:t xml:space="preserve">,</w:t>
      </w:r>
      <w:r>
        <w:rPr>
          <w:rStyle w:val="OtherTok"/>
        </w:rPr>
        <w:t xml:space="preserve"> si se conoce</w:t>
      </w:r>
      <w:r>
        <w:rPr>
          <w:rStyle w:val="DataTypeTok"/>
        </w:rPr>
        <w:t xml:space="preserve">&gt;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**Responsable de seguimiento y fecha límite:** 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Nombre</w:t>
      </w:r>
      <w:r>
        <w:rPr>
          <w:rStyle w:val="OtherTok"/>
        </w:rPr>
        <w:t xml:space="preserve"> </w:t>
      </w:r>
      <w:r>
        <w:rPr>
          <w:rStyle w:val="ErrorTok"/>
        </w:rPr>
        <w:t xml:space="preserve">/</w:t>
      </w:r>
      <w:r>
        <w:rPr>
          <w:rStyle w:val="OtherTok"/>
        </w:rPr>
        <w:t xml:space="preserve"> rol y fecha</w:t>
      </w:r>
      <w:r>
        <w:rPr>
          <w:rStyle w:val="ErrorTok"/>
        </w:rPr>
        <w:t xml:space="preserve">,</w:t>
      </w:r>
      <w:r>
        <w:rPr>
          <w:rStyle w:val="OtherTok"/>
        </w:rPr>
        <w:t xml:space="preserve"> o </w:t>
      </w:r>
      <w:r>
        <w:rPr>
          <w:rStyle w:val="ErrorTok"/>
        </w:rPr>
        <w:t xml:space="preserve">"</w:t>
      </w:r>
      <w:r>
        <w:rPr>
          <w:rStyle w:val="OtherTok"/>
        </w:rPr>
        <w:t xml:space="preserve">ninguno</w:t>
      </w:r>
      <w:r>
        <w:rPr>
          <w:rStyle w:val="ErrorTok"/>
        </w:rPr>
        <w:t xml:space="preserve">"</w:t>
      </w:r>
      <w:r>
        <w:rPr>
          <w:rStyle w:val="DataTypeTok"/>
        </w:rPr>
        <w:t xml:space="preserve">&gt;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6-evolution-adaptation#84-learning-and-feedback-capture" TargetMode="External" /><Relationship Type="http://schemas.openxmlformats.org/officeDocument/2006/relationships/hyperlink" Id="rId15" Target="https://blueprint.ecohubs.community/es/articles/rcos-core/v0-1/layer-6-evolution-adaptation#86-artifacts" TargetMode="External" /><Relationship Type="http://schemas.openxmlformats.org/officeDocument/2006/relationships/hyperlink" Id="rId16" Target="https://blueprint.ecohubs.community/es/articles/rcos-core/v0-1/layer-6-evolution-adaptation#87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6/learning-lo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6-evolution-adaptation#84-learning-and-feedback-capture" TargetMode="External" /><Relationship Type="http://schemas.openxmlformats.org/officeDocument/2006/relationships/hyperlink" Id="rId15" Target="https://blueprint.ecohubs.community/es/articles/rcos-core/v0-1/layer-6-evolution-adaptation#86-artifacts" TargetMode="External" /><Relationship Type="http://schemas.openxmlformats.org/officeDocument/2006/relationships/hyperlink" Id="rId16" Target="https://blueprint.ecohubs.community/es/articles/rcos-core/v0-1/layer-6-evolution-adaptation#87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6/learning-lo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2026-04-29T01:58:24Z</dcterms:created>
  <dcterms:modified xsi:type="dcterms:W3CDTF">2026-04-29T01:58:24Z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Registro de Aprendizajes</vt:lpwstr>
  </property>
</Properties>
</file>