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609600" cy="609600"/>
            <wp:effectExtent b="0" l="0" r="0" t="0"/>
            <wp:docPr descr="RCOS" title="" id="10" name="Picture"/>
            <a:graphic>
              <a:graphicData uri="http://schemas.openxmlformats.org/drawingml/2006/picture">
                <pic:pic>
                  <pic:nvPicPr>
                    <pic:cNvPr descr="/Users/el_stefano/Documents/Development/svelte/regenerative-community-blueprint/scripts/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RCOS — Sistema Operativo de Comunidad Regenerativa</w:t>
      </w:r>
    </w:p>
    <w:bookmarkStart w:id="19" w:name="plantilla-de-experimento"/>
    <w:p>
      <w:pPr>
        <w:pStyle w:val="Heading1"/>
      </w:pPr>
      <w:r>
        <w:t xml:space="preserve">Plantilla de Experimento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Generado:</w:t>
      </w:r>
      <w:r>
        <w:t xml:space="preserve"> </w:t>
      </w:r>
      <w:r>
        <w:t xml:space="preserve">2026-04-29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Fuente (versión más reciente):</w:t>
      </w:r>
      <w:r>
        <w:t xml:space="preserve"> </w:t>
      </w:r>
      <w:hyperlink r:id="rId12">
        <w:r>
          <w:rPr>
            <w:rStyle w:val="Hyperlink"/>
          </w:rPr>
          <w:t xml:space="preserve">https://blueprint.ecohubs.community/es/articles/rcos-templates/layer-6/experiment-template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Todas las plantillas RCOS:</w:t>
      </w:r>
      <w:r>
        <w:t xml:space="preserve"> </w:t>
      </w:r>
      <w:hyperlink r:id="rId13">
        <w:r>
          <w:rPr>
            <w:rStyle w:val="Hyperlink"/>
          </w:rPr>
          <w:t xml:space="preserve">https://blueprint.ecohubs.community/es/articles/rcos-templates</w:t>
        </w:r>
      </w:hyperlink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Capa:</w:t>
      </w:r>
      <w:r>
        <w:t xml:space="preserve"> </w:t>
      </w:r>
      <w:r>
        <w:t xml:space="preserve">6 — Evolución y Adaptación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Estado:</w:t>
      </w:r>
      <w:r>
        <w:t xml:space="preserve"> </w:t>
      </w:r>
      <w:r>
        <w:t xml:space="preserve">Plantilla — úsala para proponer un experimento acotado en el tiempo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Referencia RCOS:</w:t>
      </w:r>
      <w:r>
        <w:t xml:space="preserve"> </w:t>
      </w:r>
      <w:hyperlink r:id="rId14">
        <w:r>
          <w:rPr>
            <w:rStyle w:val="Hyperlink"/>
          </w:rPr>
          <w:t xml:space="preserve">§8.3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§8.7</w:t>
        </w:r>
      </w:hyperlink>
    </w:p>
    <w:p>
      <w:pPr>
        <w:pStyle w:val="BlockText"/>
      </w:pPr>
      <w:r>
        <w:t xml:space="preserve">Los experimentos permiten que la comunidad pruebe un cambio sin adoptarlo de forma permanente. Para mantener la seguridad, cada experimento DEBE estar acotado en el tiempo, etiquetado y con expiración automática — y DEBE registrar sus resultados en el Registro de Aprendizajes.</w:t>
      </w:r>
    </w:p>
    <w:p>
      <w:r>
        <w:pict>
          <v:rect style="width:0;height:1.5pt" o:hralign="center" o:hrstd="t" o:hr="t"/>
        </w:pict>
      </w:r>
    </w:p>
    <w:bookmarkStart w:id="16" w:name="campos-requeridos"/>
    <w:p>
      <w:pPr>
        <w:pStyle w:val="Heading2"/>
      </w:pPr>
      <w:r>
        <w:t xml:space="preserve">Campos Requeridos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8.3.1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8.3.2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8.3.3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8.3.4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8.3.5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8.7.3</w:t>
        </w:r>
      </w:hyperlink>
    </w:p>
    <w:p>
      <w:pPr>
        <w:pStyle w:val="BlockText"/>
      </w:pPr>
      <w:r>
        <w:rPr>
          <w:b/>
          <w:bCs/>
        </w:rPr>
        <w:t xml:space="preserve">Justificación — ¿Por qué se requieren estos campos</w:t>
      </w:r>
    </w:p>
    <w:p>
      <w:pPr>
        <w:pStyle w:val="BlockText"/>
      </w:pPr>
      <w:r>
        <w:t xml:space="preserve">Sin alcance, duración, criterios de éxito y reversión, un</w:t>
      </w:r>
      <w:r>
        <w:t xml:space="preserve"> </w:t>
      </w:r>
      <w:r>
        <w:t xml:space="preserve">“experimento”</w:t>
      </w:r>
      <w:r>
        <w:t xml:space="preserve"> </w:t>
      </w:r>
      <w:r>
        <w:t xml:space="preserve">es simplemente un cambio permanente con un nombre más amigable. Obligar a cada propuesta a especificar qué cambia, cuándo termina, cómo se evaluará y cómo se revertirá mantiene la experimentación reversible — e impide que la etiqueta de experimento se use para eludir la deliberación.</w:t>
      </w:r>
    </w:p>
    <w:p>
      <w:pPr>
        <w:pStyle w:val="BlockText"/>
      </w:pPr>
      <w:r>
        <w:rPr>
          <w:b/>
          <w:bCs/>
        </w:rPr>
        <w:t xml:space="preserve">Instrucciones — Cómo completar esto</w:t>
      </w:r>
    </w:p>
    <w:p>
      <w:pPr>
        <w:pStyle w:val="BlockText"/>
      </w:pPr>
      <w:r>
        <w:t xml:space="preserve">Completa cada campo. La duración máxima la establece tu Protocolo de Cambios. La autoridad de decisión DEBE provenir de la Matriz de Decisiones.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Título:</w:t>
      </w:r>
      <w:r>
        <w:t xml:space="preserve"> 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Proponente:</w:t>
      </w:r>
      <w:r>
        <w:t xml:space="preserve"> 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Tipo de decisión:</w:t>
      </w:r>
      <w:r>
        <w:t xml:space="preserve"> </w:t>
      </w:r>
      <w:r>
        <w:t xml:space="preserve">Estratégica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Alcance:</w:t>
      </w:r>
      <w:r>
        <w:t xml:space="preserve"> </w:t>
      </w:r>
      <w:r>
        <w:rPr>
          <w:i/>
          <w:iCs/>
        </w:rPr>
        <w:t xml:space="preserve">&lt;exactamente qué se está probando; qué artefactos y comportamientos se ven afectados.&gt;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Duración:</w:t>
      </w:r>
      <w:r>
        <w:t xml:space="preserve"> </w:t>
      </w:r>
      <w:r>
        <w:rPr>
          <w:i/>
          <w:iCs/>
        </w:rPr>
        <w:t xml:space="preserve">&lt;fecha de inicio — fecha de fin; duración máxima según lo establecido por el Protocolo de Cambios.&gt;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Puntos de revisión:</w:t>
      </w:r>
      <w:r>
        <w:t xml:space="preserve"> </w:t>
      </w:r>
      <w:r>
        <w:rPr>
          <w:i/>
          <w:iCs/>
        </w:rPr>
        <w:t xml:space="preserve">&lt;al menos una revisión intermedia; especifica fechas y qué se revisa.&gt;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Criterios de éxito:</w:t>
      </w:r>
      <w:r>
        <w:t xml:space="preserve"> </w:t>
      </w:r>
      <w:r>
        <w:rPr>
          <w:i/>
          <w:iCs/>
        </w:rPr>
        <w:t xml:space="preserve">&lt;condiciones observables que justificarían hacer el cambio permanente.&gt;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Criterios de fallo:</w:t>
      </w:r>
      <w:r>
        <w:t xml:space="preserve"> </w:t>
      </w:r>
      <w:r>
        <w:rPr>
          <w:i/>
          <w:iCs/>
        </w:rPr>
        <w:t xml:space="preserve">&lt;condiciones observables que terminarían el experimento anticipadamente.&gt;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Condiciones y proceso de reversión:</w:t>
      </w:r>
      <w:r>
        <w:t xml:space="preserve"> </w:t>
      </w:r>
      <w:r>
        <w:rPr>
          <w:i/>
          <w:iCs/>
        </w:rPr>
        <w:t xml:space="preserve">&lt;qué activa la reversión y cómo se ejecuta.&gt;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Ruta de decisión autorizada:</w:t>
      </w:r>
      <w:r>
        <w:t xml:space="preserve"> </w:t>
      </w:r>
      <w:r>
        <w:rPr>
          <w:i/>
          <w:iCs/>
        </w:rPr>
        <w:t xml:space="preserve">&lt;quién puede iniciar, extender, modificar o terminar el experimento, según la Matriz de Decisiones.&gt;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Etiquetado:</w:t>
      </w:r>
      <w:r>
        <w:t xml:space="preserve"> </w:t>
      </w:r>
      <w:r>
        <w:rPr>
          <w:i/>
          <w:iCs/>
        </w:rPr>
        <w:t xml:space="preserve">&lt;todos los artefactos afectados por el experimento DEBEN estar explícitamente etiquetados como experimentales durante toda su duración.&gt;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Suspensión de seguridad:</w:t>
      </w:r>
      <w:r>
        <w:t xml:space="preserve"> </w:t>
      </w:r>
      <w:r>
        <w:rPr>
          <w:i/>
          <w:iCs/>
        </w:rPr>
        <w:t xml:space="preserve">&lt;reconoce que se PUEDE invocar una suspensión de emergencia bajo el Protocolo de Cambios si surge un riesgo de seguridad creíble.&gt;</w:t>
      </w:r>
    </w:p>
    <w:bookmarkEnd w:id="16"/>
    <w:bookmarkStart w:id="17" w:name="expiración-y-renovación"/>
    <w:p>
      <w:pPr>
        <w:pStyle w:val="Heading2"/>
      </w:pPr>
      <w:r>
        <w:t xml:space="preserve">Expiración y Renovación</w:t>
      </w:r>
    </w:p>
    <w:p>
      <w:pPr>
        <w:pStyle w:val="BlockText"/>
      </w:pPr>
      <w:r>
        <w:rPr>
          <w:b/>
          <w:bCs/>
        </w:rPr>
        <w:t xml:space="preserve">Justificación — ¿Por qué los experimentos deben expirar</w:t>
      </w:r>
    </w:p>
    <w:p>
      <w:pPr>
        <w:pStyle w:val="BlockText"/>
      </w:pPr>
      <w:r>
        <w:t xml:space="preserve">La comunidad necesita la opción de revertir. La expiración automática obliga a tomar una decisión deliberada para hacer el cambio permanente — en lugar de una deriva lenta en la que nadie recuerda que alguna vez fue condicional.</w:t>
      </w:r>
    </w:p>
    <w:p>
      <w:pPr>
        <w:pStyle w:val="BlockText"/>
      </w:pPr>
      <w:r>
        <w:rPr>
          <w:b/>
          <w:bCs/>
        </w:rPr>
        <w:t xml:space="preserve">Instrucciones — Cómo completar esto</w:t>
      </w:r>
    </w:p>
    <w:p>
      <w:pPr>
        <w:pStyle w:val="BlockText"/>
      </w:pPr>
      <w:r>
        <w:t xml:space="preserve">Indica la regla de expiración automática, el mecanismo de renovación y la obligación de registrar los resultados en el Registro de Aprendizajes.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&lt;Los experimentos expiran automáticamente al final de su duración definida, a menos que se renueven explícitamente mediante una nueva propuesta. La renovación requiere una nueva votación Estratégica.&gt;</w:t>
      </w:r>
    </w:p>
    <w:p>
      <w:pPr>
        <w:pStyle w:val="Compact"/>
        <w:numPr>
          <w:ilvl w:val="0"/>
          <w:numId w:val="1004"/>
        </w:numPr>
      </w:pPr>
    </w:p>
    <w:p>
      <w:r>
        <w:pict>
          <v:rect style="width:0;height:1.5pt" o:hralign="center" o:hrstd="t" o:hr="t"/>
        </w:pict>
      </w:r>
    </w:p>
    <w:bookmarkEnd w:id="17"/>
    <w:bookmarkStart w:id="18" w:name="X8ef8592b9622cbfca559579acb653c696daf38d"/>
    <w:p>
      <w:pPr>
        <w:pStyle w:val="Heading2"/>
      </w:pPr>
      <w:r>
        <w:t xml:space="preserve">Registro de Resultado (se completa al finalizar el experimento)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Fecha de finalización: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Resultado:</w:t>
      </w:r>
      <w:r>
        <w:t xml:space="preserve"> </w:t>
      </w:r>
      <w:r>
        <w:rPr>
          <w:i/>
          <w:iCs/>
        </w:rPr>
        <w:t xml:space="preserve">&lt;Adoptado permanentemente / Revertido / Modificado y ejecutado de nuevo / Terminado anticipadamente&gt;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Registro de decisión:</w:t>
      </w:r>
      <w:r>
        <w:t xml:space="preserve"> </w:t>
      </w:r>
      <w:r>
        <w:rPr>
          <w:i/>
          <w:iCs/>
        </w:rPr>
        <w:t xml:space="preserve">&lt;enlace a la votación o decisión&gt;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Entrada en el Registro de Aprendizajes:</w:t>
      </w:r>
      <w:r>
        <w:t xml:space="preserve"> 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Resumen:</w:t>
      </w:r>
      <w:r>
        <w:t xml:space="preserve"> </w:t>
      </w:r>
      <w:r>
        <w:rPr>
          <w:i/>
          <w:iCs/>
        </w:rPr>
        <w:t xml:space="preserve">&lt;dos a cuatro oraciones sobre qué se probó, qué se observó y qué se decidió.&gt;</w:t>
      </w:r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4" Target="https://blueprint.ecohubs.community/es/articles/rcos-core/v0-1/layer-6-evolution-adaptation#83-experiments" TargetMode="External" /><Relationship Type="http://schemas.openxmlformats.org/officeDocument/2006/relationships/hyperlink" Id="rId15" Target="https://blueprint.ecohubs.community/es/articles/rcos-core/v0-1/layer-6-evolution-adaptation#87-layer-invarian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6/experiment-templat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https://blueprint.ecohubs.community/es/articles/rcos-core/v0-1/layer-6-evolution-adaptation#83-experiments" TargetMode="External" /><Relationship Type="http://schemas.openxmlformats.org/officeDocument/2006/relationships/hyperlink" Id="rId15" Target="https://blueprint.ecohubs.community/es/articles/rcos-core/v0-1/layer-6-evolution-adaptation#87-layer-invarian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6/experiment-templat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2026-04-29T01:58:24Z</dcterms:created>
  <dcterms:modified xsi:type="dcterms:W3CDTF">2026-04-29T01:58:24Z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-meta">
    <vt:lpwstr>Plantilla de Experimento</vt:lpwstr>
  </property>
</Properties>
</file>