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28" w:name="manual-de-operaciones"/>
    <w:p>
      <w:pPr>
        <w:pStyle w:val="Heading1"/>
      </w:pPr>
      <w:r>
        <w:t xml:space="preserve">Manual de Operaciones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https://blueprint.ecohubs.community/es/articles/rcos-templates/layer-5/operations-manual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5 — Operaciones y Coordinación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§7.1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§7.3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§7.4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§7.5</w:t>
        </w:r>
      </w:hyperlink>
      <w:r>
        <w:t xml:space="preserve">,</w:t>
      </w:r>
      <w:r>
        <w:t xml:space="preserve"> </w:t>
      </w:r>
      <w:hyperlink r:id="rId18">
        <w:r>
          <w:rPr>
            <w:rStyle w:val="Hyperlink"/>
          </w:rPr>
          <w:t xml:space="preserve">§7.6</w:t>
        </w:r>
      </w:hyperlink>
    </w:p>
    <w:p>
      <w:r>
        <w:pict>
          <v:rect style="width:0;height:1.5pt" o:hralign="center" o:hrstd="t" o:hr="t"/>
        </w:pict>
      </w:r>
    </w:p>
    <w:bookmarkStart w:id="20" w:name="procesos-operativos-fundamentales"/>
    <w:p>
      <w:pPr>
        <w:pStyle w:val="Heading2"/>
      </w:pPr>
      <w:r>
        <w:t xml:space="preserve">Procesos Operativos Fundamentales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7.3.4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7.7.2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8">
        <w:r>
          <w:rPr>
            <w:rStyle w:val="Hyperlink"/>
            <w:i/>
            <w:iCs/>
          </w:rPr>
          <w:t xml:space="preserve">7.6.3</w:t>
        </w:r>
      </w:hyperlink>
    </w:p>
    <w:p>
      <w:pPr>
        <w:pStyle w:val="BlockText"/>
      </w:pPr>
      <w:r>
        <w:rPr>
          <w:b/>
          <w:bCs/>
        </w:rPr>
        <w:t xml:space="preserve">Justificación — ¿Por qué documentar los procesos críticos</w:t>
      </w:r>
    </w:p>
    <w:p>
      <w:pPr>
        <w:pStyle w:val="BlockText"/>
      </w:pPr>
      <w:r>
        <w:t xml:space="preserve">Si un proceso solo existe en la cabeza de una persona, la comunidad depende de que esa persona aparezca — para siempre. Documentar los procesos críticos por escrito, con responsables nombrados, es lo que convierte el conocimiento privado en un activo comunitario que sobrevive a traspasos, ausencias y salidas.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Para cada proceso crítico recurrente (incorporación, salida, publicación de propuestas, registro de contribuciones, cadencia de reuniones, gestión de tesorería, revisión de accesos a plataformas), nombra un responsable y una breve descripción.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Proceso</w:t>
            </w:r>
          </w:p>
        </w:tc>
        <w:tc>
          <w:tcPr/>
          <w:p>
            <w:pPr>
              <w:pStyle w:val="Compact"/>
            </w:pPr>
            <w:r>
              <w:t xml:space="preserve">Quién</w:t>
            </w:r>
          </w:p>
        </w:tc>
        <w:tc>
          <w:tcPr/>
          <w:p>
            <w:pPr>
              <w:pStyle w:val="Compact"/>
            </w:pPr>
            <w:r>
              <w:t xml:space="preserve">Detalle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&lt;Incorporación de miembros&gt;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&lt;ver Protocolo de Incorporación (Capa 1)&gt;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&lt;ver Protocolo de Salida y Separación (Capa 1)&gt;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&lt;Publicación de propuestas&gt;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&lt;ver Protocolo de Gobernanza (Capa 2)&gt;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&lt;ver Protocolo de Economía Interna (Capa 3)&gt;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&lt;Reunión recurrente&gt;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&lt;facilitador/a&gt;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&lt;publicación de agenda; actas; seguimiento de acciones&gt;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&lt;Gestión de tesorería&gt;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&lt;administrador/a de finanzas&gt;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&lt;ver Reglamento de Tesorería (Capa 3)&gt;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&lt;Revisión de accesos a plataformas&gt;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&lt;administrador/a de infraestructura&gt;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&lt;cadencia de revisión; revocación de accesos para miembros que han salido&gt;</w:t>
            </w:r>
          </w:p>
        </w:tc>
      </w:tr>
    </w:tbl>
    <w:bookmarkEnd w:id="20"/>
    <w:bookmarkStart w:id="21" w:name="responsabilidades-temporales-y-ad-hoc"/>
    <w:p>
      <w:pPr>
        <w:pStyle w:val="Heading2"/>
      </w:pPr>
      <w:r>
        <w:t xml:space="preserve">Responsabilidades Temporales y Ad-Hoc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7.1.5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7.1.4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7.7.1</w:t>
        </w:r>
      </w:hyperlink>
    </w:p>
    <w:p>
      <w:pPr>
        <w:pStyle w:val="BlockText"/>
      </w:pPr>
      <w:r>
        <w:rPr>
          <w:b/>
          <w:bCs/>
        </w:rPr>
        <w:t xml:space="preserve">Justificación — ¿Por qué limitar las responsabilidades temporales</w:t>
      </w:r>
    </w:p>
    <w:p>
      <w:pPr>
        <w:pStyle w:val="BlockText"/>
      </w:pPr>
      <w:r>
        <w:t xml:space="preserve">Las tareas ad-hoc se solidifican silenciosamente en trabajos permanentes no remunerados — generalmente sobre quien dijo que sí una vez. Un límite temporal estricto y una revisión obligatoria marcan la diferencia entre</w:t>
      </w:r>
      <w:r>
        <w:t xml:space="preserve"> </w:t>
      </w:r>
      <w:r>
        <w:t xml:space="preserve">“cubrí durante una semana”</w:t>
      </w:r>
      <w:r>
        <w:t xml:space="preserve"> </w:t>
      </w:r>
      <w:r>
        <w:t xml:space="preserve">y</w:t>
      </w:r>
      <w:r>
        <w:t xml:space="preserve"> </w:t>
      </w:r>
      <w:r>
        <w:t xml:space="preserve">“aparentemente este es mi rol ahora.”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Establece que toda responsabilidad temporal DEBE estar acotada en el tiempo al asignarla, documentada, revisada antes del vencimiento, y formalizada o terminada.</w:t>
      </w:r>
    </w:p>
    <w:p>
      <w:pPr>
        <w:pStyle w:val="FirstParagraph"/>
      </w:pPr>
      <w:r>
        <w:t xml:space="preserve">Cuando una tarea o responsabilidad se asigna temporalmente, DEBE: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&lt;Estar explícitamente acotada en el tiempo desde el inicio (fecha de fin específica o condición de finalización).&gt;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&lt;Documentarse como temporal en el momento de la asignación.&gt;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&lt;Revisarse antes de la fecha de fin; convertirse en un rol formal o terminarse.&gt;</w:t>
      </w:r>
    </w:p>
    <w:p>
      <w:pPr>
        <w:pStyle w:val="FirstParagraph"/>
      </w:pPr>
      <w:r>
        <w:rPr>
          <w:i/>
          <w:iCs/>
        </w:rPr>
        <w:t xml:space="preserve">&lt;Duración máxima de cualquier responsabilidad temporal antes de que DEBA asignarse formalmente o terminarse — p. ej. 90 días.&gt;</w:t>
      </w:r>
      <w:r>
        <w:t xml:space="preserve"> </w:t>
      </w:r>
      <w:r>
        <w:t xml:space="preserve">Si una responsabilidad temporal no tiene responsable después de su fecha de fin, caduca; no se transfiere implícitamente.</w:t>
      </w:r>
    </w:p>
    <w:p>
      <w:r>
        <w:pict>
          <v:rect style="width:0;height:1.5pt" o:hralign="center" o:hrstd="t" o:hr="t"/>
        </w:pict>
      </w:r>
    </w:p>
    <w:bookmarkEnd w:id="21"/>
    <w:bookmarkStart w:id="22" w:name="interfaces-entre-roles-y-dominios"/>
    <w:p>
      <w:pPr>
        <w:pStyle w:val="Heading2"/>
      </w:pPr>
      <w:r>
        <w:t xml:space="preserve">Interfaces entre Roles y Dominios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8">
        <w:r>
          <w:rPr>
            <w:rStyle w:val="Hyperlink"/>
            <w:i/>
            <w:iCs/>
          </w:rPr>
          <w:t xml:space="preserve">7.6.3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7.3.4</w:t>
        </w:r>
      </w:hyperlink>
    </w:p>
    <w:p>
      <w:pPr>
        <w:pStyle w:val="BlockText"/>
      </w:pPr>
      <w:r>
        <w:rPr>
          <w:b/>
          <w:bCs/>
        </w:rPr>
        <w:t xml:space="preserve">Justificación — ¿Por qué mapear los traspasos explícitamente</w:t>
      </w:r>
    </w:p>
    <w:p>
      <w:pPr>
        <w:pStyle w:val="BlockText"/>
      </w:pPr>
      <w:r>
        <w:t xml:space="preserve">La mayoría de los fallos operativos no ocurren dentro de un rol sino entre roles — en las fronteras donde el trabajo pasa de un responsable al siguiente. Nombrar los traspasos convierte dependencias invisibles en dependencias revisables, y previene los fallos de</w:t>
      </w:r>
      <w:r>
        <w:t xml:space="preserve"> </w:t>
      </w:r>
      <w:r>
        <w:t xml:space="preserve">“yo pensaba que lo tenías tú”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Para cada par de roles que se pasan trabajo entre sí, nombra el traspaso y el tipo de trabajo transferido.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Traspaso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&lt;qué se traspasa&gt;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</w:tbl>
    <w:bookmarkEnd w:id="22"/>
    <w:bookmarkStart w:id="23" w:name="límites-de-carga-de-trabajo"/>
    <w:p>
      <w:pPr>
        <w:pStyle w:val="Heading2"/>
      </w:pPr>
      <w:r>
        <w:t xml:space="preserve">Límites de Carga de Trabajo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7.4.1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7.4.2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7.4.3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7.7.3</w:t>
        </w:r>
      </w:hyperlink>
    </w:p>
    <w:p>
      <w:pPr>
        <w:pStyle w:val="BlockText"/>
      </w:pPr>
      <w:r>
        <w:rPr>
          <w:b/>
          <w:bCs/>
        </w:rPr>
        <w:t xml:space="preserve">Justificación — ¿Por qué hacer explícitos los límites de carga de trabajo</w:t>
      </w:r>
    </w:p>
    <w:p>
      <w:pPr>
        <w:pStyle w:val="BlockText"/>
      </w:pPr>
      <w:r>
        <w:t xml:space="preserve">La carga de coordinación ilimitada es el modo de fallo predeterminado de las comunidades voluntarias — quema silenciosamente a los miembros más comprometidos hasta que se van. Límites explícitos y revisables hacen de la capacidad una preocupación compartida en lugar de una carga privada.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Establece límites para la carga de reuniones, carga de roles, expectativas de tiempo de respuesta, y el camino para renegociar responsabilidades.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Carga de reuniones:</w:t>
      </w:r>
      <w:r>
        <w:t xml:space="preserve"> </w:t>
      </w:r>
      <w:r>
        <w:rPr>
          <w:i/>
          <w:iCs/>
        </w:rPr>
        <w:t xml:space="preserve">&lt;cadencia de reuniones recurrentes y duración máxima; reglas para reuniones extraordinarias.&gt;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Carga de roles:</w:t>
      </w:r>
      <w:r>
        <w:t xml:space="preserve"> </w:t>
      </w:r>
      <w:r>
        <w:rPr>
          <w:i/>
          <w:iCs/>
        </w:rPr>
        <w:t xml:space="preserve">&lt;tope si lo hay; regla para señalar sobrecarga; plazo de resolución.&gt;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Expectativas de tiempo de respuesta:</w:t>
      </w:r>
      <w:r>
        <w:t xml:space="preserve"> </w:t>
      </w:r>
      <w:r>
        <w:rPr>
          <w:i/>
          <w:iCs/>
        </w:rPr>
        <w:t xml:space="preserve">&lt;asíncrono no urgente; operativo urgente; crítico para la seguridad.&gt;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Renegociación y alivio:</w:t>
      </w:r>
      <w:r>
        <w:t xml:space="preserve"> </w:t>
      </w:r>
      <w:r>
        <w:rPr>
          <w:i/>
          <w:iCs/>
        </w:rPr>
        <w:t xml:space="preserve">&lt;proceso para redistribuir responsabilidades; plazo de resolución.&gt;</w:t>
      </w:r>
    </w:p>
    <w:bookmarkEnd w:id="23"/>
    <w:bookmarkStart w:id="24" w:name="continuidad-operativa"/>
    <w:p>
      <w:pPr>
        <w:pStyle w:val="Heading2"/>
      </w:pPr>
      <w:r>
        <w:t xml:space="preserve">Continuidad Operativa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7.5.1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7.5.2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7.5.3</w:t>
        </w:r>
      </w:hyperlink>
    </w:p>
    <w:p>
      <w:pPr>
        <w:pStyle w:val="BlockText"/>
      </w:pPr>
      <w:r>
        <w:rPr>
          <w:b/>
          <w:bCs/>
        </w:rPr>
        <w:t xml:space="preserve">Justificación — ¿Por qué planificar la continuidad ahora</w:t>
      </w:r>
    </w:p>
    <w:p>
      <w:pPr>
        <w:pStyle w:val="BlockText"/>
      </w:pPr>
      <w:r>
        <w:t xml:space="preserve">Una comunidad que depende de una persona irremplazable está a una enfermedad, un conflicto o una salida de distancia del colapso. Nombrar los puntos únicos de fallo — con honestidad — e incorporar el traspaso en cada rol es lo que permite a la comunidad sobrevivir a sus fundadores.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Nombra honestamente los puntos únicos de fallo actuales. Establece el requisito de traspaso para cada rol y la cadencia de revisión de continuidad.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Estado actual:</w:t>
      </w:r>
      <w:r>
        <w:t xml:space="preserve"> </w:t>
      </w:r>
      <w:r>
        <w:rPr>
          <w:i/>
          <w:iCs/>
        </w:rPr>
        <w:t xml:space="preserve">&lt;lista honesta de puntos únicos de fallo; plan de reclutamiento para reducir la concentración.&gt;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Mecanismos de traspaso:</w:t>
      </w:r>
      <w:r>
        <w:t xml:space="preserve"> </w:t>
      </w:r>
      <w:r>
        <w:rPr>
          <w:i/>
          <w:iCs/>
        </w:rPr>
        <w:t xml:space="preserve">&lt;referencia a los requisitos de traspaso por rol en el Registro de Roles; el traspaso DEBE completarse antes de que un rol quede vacante.&gt;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Cadencia de revisión de continuidad:</w:t>
      </w:r>
      <w:r>
        <w:t xml:space="preserve"> </w:t>
      </w:r>
      <w:r>
        <w:rPr>
          <w:i/>
          <w:iCs/>
        </w:rPr>
        <w:t xml:space="preserve">&lt;trimestral; ad hoc ante cambio de rol.&gt;</w:t>
      </w:r>
    </w:p>
    <w:bookmarkEnd w:id="24"/>
    <w:bookmarkStart w:id="25" w:name="X2a05729b040a32a23a4bc3bd21446159a31d35d"/>
    <w:p>
      <w:pPr>
        <w:pStyle w:val="Heading2"/>
      </w:pPr>
      <w:r>
        <w:t xml:space="preserve">Flujo de Información y Anti-Monopolización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7.3.5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7.7.4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7.3.2</w:t>
        </w:r>
      </w:hyperlink>
    </w:p>
    <w:p>
      <w:pPr>
        <w:pStyle w:val="BlockText"/>
      </w:pPr>
      <w:r>
        <w:rPr>
          <w:b/>
          <w:bCs/>
        </w:rPr>
        <w:t xml:space="preserve">Justificación — ¿Por qué tratar el acceso a la información como un asunto de gobernanza</w:t>
      </w:r>
    </w:p>
    <w:p>
      <w:pPr>
        <w:pStyle w:val="BlockText"/>
      </w:pPr>
      <w:r>
        <w:t xml:space="preserve">Quien controla el acceso a la información controla la comunidad, lo pretenda o no. Hacer explícitas las reglas de acceso — y prohibir los puntos únicos de acceso — es lo que impide que los guardianes informales acumulen el tipo de poder que el sistema de gobernanza se supone que debe controlar.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Indica qué registros están abiertos a todos los Miembros Plenos, el plazo de respuesta para solicitudes de información, y la regla contra los puntos únicos de acceso para información relevante de gobernanza.</w:t>
      </w:r>
    </w:p>
    <w:p>
      <w:pPr>
        <w:pStyle w:val="Compact"/>
        <w:numPr>
          <w:ilvl w:val="0"/>
          <w:numId w:val="1006"/>
        </w:numPr>
      </w:pPr>
    </w:p>
    <w:p>
      <w:pPr>
        <w:pStyle w:val="Compact"/>
        <w:numPr>
          <w:ilvl w:val="0"/>
          <w:numId w:val="1006"/>
        </w:numPr>
      </w:pP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&lt;Estado de membresía y asignaciones de roles accesibles.&gt;</w:t>
      </w:r>
    </w:p>
    <w:p>
      <w:pPr>
        <w:pStyle w:val="Compact"/>
        <w:numPr>
          <w:ilvl w:val="0"/>
          <w:numId w:val="1006"/>
        </w:numPr>
      </w:pP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&lt;Plazo de respuesta a solicitudes de información.&gt;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&lt;Retener el acceso a información a la que los miembros tienen derecho es un activador de rendición de cuentas según la Capa 4.&gt;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&lt;Ningún rol o individuo PUEDE ser el único punto de acceso para información requerida por otros titulares de roles.&gt;</w:t>
      </w:r>
    </w:p>
    <w:p>
      <w:r>
        <w:pict>
          <v:rect style="width:0;height:1.5pt" o:hralign="center" o:hrstd="t" o:hr="t"/>
        </w:pict>
      </w:r>
    </w:p>
    <w:bookmarkEnd w:id="25"/>
    <w:bookmarkStart w:id="26" w:name="X157cabccb427391fdb416c2c26980329ba29216"/>
    <w:p>
      <w:pPr>
        <w:pStyle w:val="Heading2"/>
      </w:pPr>
      <w:r>
        <w:t xml:space="preserve">Ubicaciones de Documentación y Procedimientos de Actualización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7.3.3</w:t>
        </w:r>
      </w:hyperlink>
    </w:p>
    <w:p>
      <w:pPr>
        <w:pStyle w:val="BlockText"/>
      </w:pPr>
      <w:r>
        <w:rPr>
          <w:b/>
          <w:bCs/>
        </w:rPr>
        <w:t xml:space="preserve">Justificación — ¿Por qué nombrar dónde vive cada documento</w:t>
      </w:r>
    </w:p>
    <w:p>
      <w:pPr>
        <w:pStyle w:val="BlockText"/>
      </w:pPr>
      <w:r>
        <w:t xml:space="preserve">Si nadie puede decir dónde está la versión canónica de algo, no hay versión canónica. Nombrar la ubicación, el responsable y la cadencia de revisión de cada tipo de documento es lo que hace que la memoria de la comunidad sea auditable en lugar de folclórica.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Para cada tipo de documento, nombra la ubicación canónica, el responsable y la cadencia de revisión.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Tipo de documento</w:t>
            </w:r>
          </w:p>
        </w:tc>
        <w:tc>
          <w:tcPr/>
          <w:p>
            <w:pPr>
              <w:pStyle w:val="Compact"/>
            </w:pPr>
            <w:r>
              <w:t xml:space="preserve">Ubicación</w:t>
            </w:r>
          </w:p>
        </w:tc>
        <w:tc>
          <w:tcPr/>
          <w:p>
            <w:pPr>
              <w:pStyle w:val="Compact"/>
            </w:pPr>
            <w:r>
              <w:t xml:space="preserve">Responsable</w:t>
            </w:r>
          </w:p>
        </w:tc>
        <w:tc>
          <w:tcPr/>
          <w:p>
            <w:pPr>
              <w:pStyle w:val="Compact"/>
            </w:pPr>
            <w:r>
              <w:t xml:space="preserve">Cadencia de revisión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&lt;ubicación&gt;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&lt;ubicación&gt;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&lt;ubicación&gt;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&lt;ubicación&gt;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&lt;ubicación&gt;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Estratégica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5-operations-coordination#71-roles-and-responsibilities" TargetMode="External" /><Relationship Type="http://schemas.openxmlformats.org/officeDocument/2006/relationships/hyperlink" Id="rId15" Target="https://blueprint.ecohubs.community/es/articles/rcos-core/v0-1/layer-5-operations-coordination#73-documentation-and-information-flow" TargetMode="External" /><Relationship Type="http://schemas.openxmlformats.org/officeDocument/2006/relationships/hyperlink" Id="rId16" Target="https://blueprint.ecohubs.community/es/articles/rcos-core/v0-1/layer-5-operations-coordination#74-workload-and-capacity-boundaries" TargetMode="External" /><Relationship Type="http://schemas.openxmlformats.org/officeDocument/2006/relationships/hyperlink" Id="rId17" Target="https://blueprint.ecohubs.community/es/articles/rcos-core/v0-1/layer-5-operations-coordination#75-operational-continuity" TargetMode="External" /><Relationship Type="http://schemas.openxmlformats.org/officeDocument/2006/relationships/hyperlink" Id="rId18" Target="https://blueprint.ecohubs.community/es/articles/rcos-core/v0-1/layer-5-operations-coordination#76-artifacts" TargetMode="External" /><Relationship Type="http://schemas.openxmlformats.org/officeDocument/2006/relationships/hyperlink" Id="rId19" Target="https://blueprint.ecohubs.community/es/articles/rcos-core/v0-1/layer-5-operations-coordination#77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5/operations-manua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5-operations-coordination#71-roles-and-responsibilities" TargetMode="External" /><Relationship Type="http://schemas.openxmlformats.org/officeDocument/2006/relationships/hyperlink" Id="rId15" Target="https://blueprint.ecohubs.community/es/articles/rcos-core/v0-1/layer-5-operations-coordination#73-documentation-and-information-flow" TargetMode="External" /><Relationship Type="http://schemas.openxmlformats.org/officeDocument/2006/relationships/hyperlink" Id="rId16" Target="https://blueprint.ecohubs.community/es/articles/rcos-core/v0-1/layer-5-operations-coordination#74-workload-and-capacity-boundaries" TargetMode="External" /><Relationship Type="http://schemas.openxmlformats.org/officeDocument/2006/relationships/hyperlink" Id="rId17" Target="https://blueprint.ecohubs.community/es/articles/rcos-core/v0-1/layer-5-operations-coordination#75-operational-continuity" TargetMode="External" /><Relationship Type="http://schemas.openxmlformats.org/officeDocument/2006/relationships/hyperlink" Id="rId18" Target="https://blueprint.ecohubs.community/es/articles/rcos-core/v0-1/layer-5-operations-coordination#76-artifacts" TargetMode="External" /><Relationship Type="http://schemas.openxmlformats.org/officeDocument/2006/relationships/hyperlink" Id="rId19" Target="https://blueprint.ecohubs.community/es/articles/rcos-core/v0-1/layer-5-operations-coordination#77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5/operations-manu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2026-04-29T01:58:23Z</dcterms:created>
  <dcterms:modified xsi:type="dcterms:W3CDTF">2026-04-29T01:58:23Z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Manual de Operaciones</vt:lpwstr>
  </property>
</Properties>
</file>