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35" w:name="plantillas-de-reuniones"/>
    <w:p>
      <w:pPr>
        <w:pStyle w:val="Heading1"/>
      </w:pPr>
      <w:r>
        <w:t xml:space="preserve">Plantillas de Reuniones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https://blueprint.ecohubs.community/es/articles/rcos-templates/layer-5/meeting-templates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5 — Operaciones y Coordinación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adaptar para tu comunidad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§7.2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§7.6</w:t>
        </w:r>
      </w:hyperlink>
    </w:p>
    <w:p>
      <w:pPr>
        <w:pStyle w:val="BlockText"/>
      </w:pPr>
      <w:r>
        <w:t xml:space="preserve">Las plantillas de reuniones declaran el propósito, el alcance de decisión, el quórum y la estructura de cada tipo de reunión. Una reunión sin una plantilla declarada, dado el tiempo suficiente, acumulará autoridad que no debería tener. Adapta estas plantillas y añade o elimina tipos de reunión según las necesidades de tu comunidad.</w:t>
      </w:r>
    </w:p>
    <w:p>
      <w:r>
        <w:pict>
          <v:rect style="width:0;height:1.5pt" o:hralign="center" o:hrstd="t" o:hr="t"/>
        </w:pict>
      </w:r>
    </w:p>
    <w:bookmarkStart w:id="19" w:name="tipo-de-reunión-operaciones"/>
    <w:p>
      <w:pPr>
        <w:pStyle w:val="Heading2"/>
      </w:pPr>
      <w:r>
        <w:t xml:space="preserve">Tipo de Reunión: Operaciones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7.6.4</w:t>
        </w:r>
      </w:hyperlink>
    </w:p>
    <w:p>
      <w:pPr>
        <w:pStyle w:val="BlockText"/>
      </w:pPr>
      <w:r>
        <w:rPr>
          <w:b/>
          <w:bCs/>
        </w:rPr>
        <w:t xml:space="preserve">Justificación — ¿Por qué una reunión de Operaciones regular</w:t>
      </w:r>
    </w:p>
    <w:p>
      <w:pPr>
        <w:pStyle w:val="BlockText"/>
      </w:pPr>
      <w:r>
        <w:t xml:space="preserve">La coordinación del día a día necesita un ritmo regular, no improvisación ad-hoc. La reunión de Operaciones es el latido de la comunidad — un espacio predecible para revisar el trabajo activo, detectar bloqueos y tomar pequeñas decisiones operativas. Fundamentalmente, solo las decisiones Operativas ocurren aquí; las Estratégicas y Constitucionales pasan por el proceso de gobernanza, así que la reunión no puede acumular silenciosamente autoridad que no tiene.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Define el propósito, el alcance de decisión, los participantes obligatorios y opcionales, la cadencia, la duración y las reglas de facilitación. Mantén el alcance de decisión solo en Operativo.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Propósito:</w:t>
      </w:r>
      <w:r>
        <w:t xml:space="preserve"> </w:t>
      </w:r>
      <w:r>
        <w:rPr>
          <w:i/>
          <w:iCs/>
        </w:rPr>
        <w:t xml:space="preserve">&lt;revisar trabajo activo, coordinar tareas, detectar bloqueos, tomar decisiones operativas.&gt;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Alcance de decisión:</w:t>
      </w:r>
      <w:r>
        <w:t xml:space="preserve"> </w:t>
      </w:r>
      <w:r>
        <w:t xml:space="preserve">Solo decisiones Operativas — no puede tomar decisiones Estratégicas ni Constitucionales.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Participantes obligatorios:</w:t>
      </w:r>
      <w:r>
        <w:t xml:space="preserve"> </w:t>
      </w:r>
      <w:r>
        <w:rPr>
          <w:i/>
          <w:iCs/>
        </w:rPr>
        <w:t xml:space="preserve">&lt;quién está invitado; quórum mínimo.&gt;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Participantes opcionales:</w:t>
      </w:r>
      <w:r>
        <w:t xml:space="preserve"> </w:t>
      </w:r>
      <w:r>
        <w:rPr>
          <w:i/>
          <w:iCs/>
        </w:rPr>
        <w:t xml:space="preserve">&lt;quién puede asistir por invitación.&gt;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Cadencia:</w:t>
      </w:r>
      <w:r>
        <w:t xml:space="preserve"> </w:t>
      </w:r>
      <w:r>
        <w:rPr>
          <w:i/>
          <w:iCs/>
        </w:rPr>
        <w:t xml:space="preserve">&lt;semanal / quincenal / mensual.&gt;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Límite de duración:</w:t>
      </w:r>
      <w:r>
        <w:t xml:space="preserve"> </w:t>
      </w:r>
      <w:r>
        <w:rPr>
          <w:i/>
          <w:iCs/>
        </w:rPr>
        <w:t xml:space="preserve">&lt;p. ej. 90 minutos máximo.&gt;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Facilitación:</w:t>
      </w:r>
      <w:r>
        <w:t xml:space="preserve"> </w:t>
      </w:r>
      <w:r>
        <w:rPr>
          <w:i/>
          <w:iCs/>
        </w:rPr>
        <w:t xml:space="preserve">&lt;rol de facilitador/a; regla de sustitución.&gt;</w:t>
      </w:r>
    </w:p>
    <w:bookmarkStart w:id="16" w:name="estructura-de-la-agenda"/>
    <w:p>
      <w:pPr>
        <w:pStyle w:val="Heading3"/>
      </w:pPr>
      <w:r>
        <w:t xml:space="preserve">Estructura de la Agenda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Check-in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Revisión de acciones anteriores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Actualizaciones de roles y dominios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Puntos activos de agenda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Decisiones operativas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Próximas acciones y responsables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Check-out</w:t>
      </w:r>
      <w:r>
        <w:t xml:space="preserve"> </w:t>
      </w:r>
      <w:r>
        <w:rPr>
          <w:i/>
          <w:iCs/>
        </w:rPr>
        <w:t xml:space="preserve">&lt;duración; opcional&gt;</w:t>
      </w:r>
    </w:p>
    <w:bookmarkEnd w:id="16"/>
    <w:bookmarkStart w:id="17" w:name="notas-y-registros"/>
    <w:p>
      <w:pPr>
        <w:pStyle w:val="Heading3"/>
      </w:pPr>
      <w:r>
        <w:t xml:space="preserve">Notas y Registros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Fecha: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Facilitador/a: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Asistentes: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Notas:</w:t>
      </w:r>
    </w:p>
    <w:bookmarkEnd w:id="17"/>
    <w:bookmarkStart w:id="18" w:name="registro-de-decisión-si-aplica"/>
    <w:p>
      <w:pPr>
        <w:pStyle w:val="Heading3"/>
      </w:pPr>
      <w:r>
        <w:t xml:space="preserve">Registro de Decisión (si aplica)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Operativa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Autoridad:</w:t>
      </w:r>
      <w:r>
        <w:t xml:space="preserve"> </w:t>
      </w:r>
      <w:r>
        <w:rPr>
          <w:i/>
          <w:iCs/>
        </w:rPr>
        <w:t xml:space="preserve">&lt;titular del rol según la Matriz de Decisión&gt;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Mecanismo / umbral:</w:t>
      </w:r>
      <w:r>
        <w:t xml:space="preserve"> </w:t>
      </w:r>
      <w:r>
        <w:t xml:space="preserve">Autoridad delegada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Resultado:</w:t>
      </w:r>
      <w:r>
        <w:t xml:space="preserve"> </w:t>
      </w:r>
      <w:r>
        <w:rPr>
          <w:i/>
          <w:iCs/>
        </w:rPr>
        <w:t xml:space="preserve">&lt;qué se decidió&gt;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Fecha de vigencia: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Archivado en:</w:t>
      </w:r>
      <w:r>
        <w:t xml:space="preserve"> </w:t>
      </w:r>
      <w:r>
        <w:rPr>
          <w:i/>
          <w:iCs/>
        </w:rPr>
        <w:t xml:space="preserve">&lt;ubicación&gt;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3" w:name="tipo-de-reunión-gobernanza"/>
    <w:p>
      <w:pPr>
        <w:pStyle w:val="Heading2"/>
      </w:pPr>
      <w:r>
        <w:t xml:space="preserve">Tipo de Reunión: Gobernanza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7.6.4</w:t>
        </w:r>
      </w:hyperlink>
    </w:p>
    <w:p>
      <w:pPr>
        <w:pStyle w:val="BlockText"/>
      </w:pPr>
      <w:r>
        <w:rPr>
          <w:b/>
          <w:bCs/>
        </w:rPr>
        <w:t xml:space="preserve">Justificación — ¿Por qué separar la deliberación de la votación vinculante</w:t>
      </w:r>
    </w:p>
    <w:p>
      <w:pPr>
        <w:pStyle w:val="BlockText"/>
      </w:pPr>
      <w:r>
        <w:t xml:space="preserve">Si una reunión puede tanto discutir como decidir, quien esté en la sala ese día decide — independientemente del quórum o las reglas de autoridad. Mantener la deliberación separada de la votación vinculante preserva la integridad de la Matriz de Decisión y asegura que los miembros ausentes sigan teniendo voto.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Esta reunión delibera sobre propuestas activas durante su período de deliberación. La decisión vinculante se toma a través del proceso de gobernanza según la Matriz de Decisión.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Propósito:</w:t>
      </w:r>
      <w:r>
        <w:t xml:space="preserve"> </w:t>
      </w:r>
      <w:r>
        <w:t xml:space="preserve">Deliberar sobre una propuesta activa durante su período de deliberación.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Alcance de decisión:</w:t>
      </w:r>
      <w:r>
        <w:t xml:space="preserve"> </w:t>
      </w:r>
      <w:r>
        <w:t xml:space="preserve">Solo deliberación — la decisión vinculante se toma a través del proceso de gobernanza según la Matriz de Decisión.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Participantes obligatorios:</w:t>
      </w:r>
      <w:r>
        <w:t xml:space="preserve"> </w:t>
      </w:r>
      <w:r>
        <w:rPr>
          <w:i/>
          <w:iCs/>
        </w:rPr>
        <w:t xml:space="preserve">&lt;todos los Miembros Plenos invitados; el proponente debe estar presente.&gt;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Participantes opcionales:</w:t>
      </w:r>
      <w:r>
        <w:t xml:space="preserve"> </w:t>
      </w:r>
      <w:r>
        <w:rPr>
          <w:i/>
          <w:iCs/>
        </w:rPr>
        <w:t xml:space="preserve">&lt;quién puede observar.&gt;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Cadencia:</w:t>
      </w:r>
      <w:r>
        <w:t xml:space="preserve"> </w:t>
      </w:r>
      <w:r>
        <w:rPr>
          <w:i/>
          <w:iCs/>
        </w:rPr>
        <w:t xml:space="preserve">&lt;según sea necesario durante los períodos de deliberación.&gt;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Límite de duración:</w:t>
      </w:r>
      <w:r>
        <w:t xml:space="preserve"> </w:t>
      </w:r>
      <w:r>
        <w:rPr>
          <w:i/>
          <w:iCs/>
        </w:rPr>
        <w:t xml:space="preserve">&lt;p. ej. 60 minutos máximo.&gt;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Facilitación:</w:t>
      </w:r>
      <w:r>
        <w:t xml:space="preserve"> </w:t>
      </w:r>
      <w:r>
        <w:rPr>
          <w:i/>
          <w:iCs/>
        </w:rPr>
        <w:t xml:space="preserve">&lt;rol de facilitador/a.&gt;</w:t>
      </w:r>
    </w:p>
    <w:bookmarkStart w:id="20" w:name="estructura-de-la-agenda-1"/>
    <w:p>
      <w:pPr>
        <w:pStyle w:val="Heading3"/>
      </w:pPr>
      <w:r>
        <w:t xml:space="preserve">Estructura de la Agenda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Check-in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Resumen de la propuesta</w:t>
      </w:r>
      <w:r>
        <w:t xml:space="preserve"> </w:t>
      </w:r>
      <w:r>
        <w:rPr>
          <w:i/>
          <w:iCs/>
        </w:rPr>
        <w:t xml:space="preserve">&lt;duración — el proponente presenta la propuesta: qué cambia, por qué, y alternativas consideradas.&gt;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Preguntas de clarificación</w:t>
      </w:r>
      <w:r>
        <w:t xml:space="preserve"> </w:t>
      </w:r>
      <w:r>
        <w:rPr>
          <w:i/>
          <w:iCs/>
        </w:rPr>
        <w:t xml:space="preserve">&lt;duración — solo preguntas factuales; sin posicionamiento aún.&gt;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Deliberación abierta</w:t>
      </w:r>
      <w:r>
        <w:t xml:space="preserve"> </w:t>
      </w:r>
      <w:r>
        <w:rPr>
          <w:i/>
          <w:iCs/>
        </w:rPr>
        <w:t xml:space="preserve">&lt;duración.&gt;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Resumen de posiciones y próximos pasos</w:t>
      </w:r>
      <w:r>
        <w:t xml:space="preserve"> </w:t>
      </w:r>
      <w:r>
        <w:rPr>
          <w:i/>
          <w:iCs/>
        </w:rPr>
        <w:t xml:space="preserve">&lt;duración — el facilitador/a resume; confirma el calendario de votación.&gt;</w:t>
      </w:r>
    </w:p>
    <w:bookmarkEnd w:id="20"/>
    <w:bookmarkStart w:id="21" w:name="notas-y-registros-1"/>
    <w:p>
      <w:pPr>
        <w:pStyle w:val="Heading3"/>
      </w:pPr>
      <w:r>
        <w:t xml:space="preserve">Notas y Registros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Fecha: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Facilitador/a: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Asistentes: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Notas:</w:t>
      </w:r>
    </w:p>
    <w:bookmarkEnd w:id="21"/>
    <w:bookmarkStart w:id="22" w:name="registro-de-decisión"/>
    <w:p>
      <w:pPr>
        <w:pStyle w:val="Heading3"/>
      </w:pPr>
      <w:r>
        <w:t xml:space="preserve">Registro de Decisión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Referencia de propuesta:</w:t>
      </w:r>
      <w:r>
        <w:t xml:space="preserve"> 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rPr>
          <w:i/>
          <w:iCs/>
        </w:rPr>
        <w:t xml:space="preserve">&lt;Estratégica / Constitucional&gt;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Autoridad:</w:t>
      </w:r>
      <w:r>
        <w:t xml:space="preserve"> </w:t>
      </w:r>
      <w:r>
        <w:t xml:space="preserve">Miembros Plenos (colectivo)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Mecanismo / umbral:</w:t>
      </w:r>
      <w:r>
        <w:t xml:space="preserve"> </w:t>
      </w:r>
      <w:r>
        <w:rPr>
          <w:i/>
          <w:iCs/>
        </w:rPr>
        <w:t xml:space="preserve">&lt;mecanismo de votación + umbral&gt;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Resultado:</w:t>
      </w:r>
      <w:r>
        <w:t xml:space="preserve"> </w:t>
      </w:r>
      <w:r>
        <w:rPr>
          <w:i/>
          <w:iCs/>
        </w:rPr>
        <w:t xml:space="preserve">&lt;Aprobada / Rechazada / Aplazada&gt;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Fecha de vigencia: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Enlace de votación: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Xc7779b7433467ebbc55db1d4b00dcc5d502c665"/>
    <w:p>
      <w:pPr>
        <w:pStyle w:val="Heading2"/>
      </w:pPr>
      <w:r>
        <w:t xml:space="preserve">Tipo de Reunión: Coordinación y Alineación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7.6.4</w:t>
        </w:r>
      </w:hyperlink>
    </w:p>
    <w:p>
      <w:pPr>
        <w:pStyle w:val="BlockText"/>
      </w:pPr>
      <w:r>
        <w:rPr>
          <w:b/>
          <w:bCs/>
        </w:rPr>
        <w:t xml:space="preserve">Justificación — ¿Por qué una reunión de coordinación dedicada</w:t>
      </w:r>
    </w:p>
    <w:p>
      <w:pPr>
        <w:pStyle w:val="BlockText"/>
      </w:pPr>
      <w:r>
        <w:t xml:space="preserve">Algunos bloqueos abarcan más de un rol y no pueden resolverse en el ritmo regular de Operaciones. Coordinación y Alineación le da al trabajo transversal entre roles su propio espacio — para dependencias, traspasos y prioridades en competencia — para que la reunión semanal no se infle intentando absorberlo todo.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Usa esta plantilla cuando se necesite coordinación entre roles. Mantén el alcance de decisión solo en Operativo y limita los participantes obligatorios a quienes tengan iniciativas activas.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Propósito:</w:t>
      </w:r>
      <w:r>
        <w:t xml:space="preserve"> </w:t>
      </w:r>
      <w:r>
        <w:t xml:space="preserve">Sincronizar el trabajo entre roles e iniciativas; detectar dependencias y bloqueos; alinear prioridades.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Alcance de decisión:</w:t>
      </w:r>
      <w:r>
        <w:t xml:space="preserve"> </w:t>
      </w:r>
      <w:r>
        <w:t xml:space="preserve">Solo decisiones Operativas.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Participantes obligatorios:</w:t>
      </w:r>
      <w:r>
        <w:t xml:space="preserve"> 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Participantes opcionales:</w:t>
      </w:r>
      <w:r>
        <w:t xml:space="preserve"> 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Cadencia:</w:t>
      </w:r>
      <w:r>
        <w:t xml:space="preserve"> </w:t>
      </w:r>
      <w:r>
        <w:rPr>
          <w:i/>
          <w:iCs/>
        </w:rPr>
        <w:t xml:space="preserve">&lt;mensual o según sea necesario.&gt;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Límite de duración:</w:t>
      </w:r>
      <w:r>
        <w:t xml:space="preserve"> </w:t>
      </w:r>
      <w:r>
        <w:rPr>
          <w:i/>
          <w:iCs/>
        </w:rPr>
        <w:t xml:space="preserve">&lt;p. ej. 60 minutos.&gt;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Facilitación:</w:t>
      </w:r>
      <w:r>
        <w:t xml:space="preserve"> </w:t>
      </w:r>
      <w:r>
        <w:rPr>
          <w:i/>
          <w:iCs/>
        </w:rPr>
        <w:t xml:space="preserve">&lt;facilitador/a; regla de sustitución.&gt;</w:t>
      </w:r>
    </w:p>
    <w:bookmarkStart w:id="24" w:name="estructura-de-la-agenda-2"/>
    <w:p>
      <w:pPr>
        <w:pStyle w:val="Heading3"/>
      </w:pPr>
      <w:r>
        <w:t xml:space="preserve">Estructura de la Agenda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Check-in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Actualizaciones de estado de iniciativas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Bloqueos y dependencias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Próximos pasos</w:t>
      </w:r>
      <w:r>
        <w:t xml:space="preserve"> </w:t>
      </w:r>
      <w:r>
        <w:rPr>
          <w:i/>
          <w:iCs/>
        </w:rPr>
        <w:t xml:space="preserve">&lt;duración&gt;</w:t>
      </w:r>
    </w:p>
    <w:bookmarkEnd w:id="24"/>
    <w:bookmarkStart w:id="25" w:name="notas-y-registros-2"/>
    <w:p>
      <w:pPr>
        <w:pStyle w:val="Heading3"/>
      </w:pPr>
      <w:r>
        <w:t xml:space="preserve">Notas y Registros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Fecha: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Facilitador/a: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Asistentes: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Notas: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tipo-de-reunión-reflexión-y-aprendizaje"/>
    <w:p>
      <w:pPr>
        <w:pStyle w:val="Heading2"/>
      </w:pPr>
      <w:r>
        <w:t xml:space="preserve">Tipo de Reunión: Reflexión y Aprendizaje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7.6.4</w:t>
        </w:r>
      </w:hyperlink>
    </w:p>
    <w:p>
      <w:pPr>
        <w:pStyle w:val="BlockText"/>
      </w:pPr>
      <w:r>
        <w:rPr>
          <w:b/>
          <w:bCs/>
        </w:rPr>
        <w:t xml:space="preserve">Justificación — ¿Por qué darle a la reflexión su propio tipo de reunión</w:t>
      </w:r>
    </w:p>
    <w:p>
      <w:pPr>
        <w:pStyle w:val="BlockText"/>
      </w:pPr>
      <w:r>
        <w:t xml:space="preserve">La reflexión que ocurre solo cuando hay tiempo no ocurre nunca. Un tipo de reunión con nombre y cadencia definida crea el espacio para mirar atrás — y evita que la retrospección quede aplastada por la urgencia operativa. Sin ella, el Registro de Aprendizajes (Capa 6) permanece vacío y el marco deja de evolucionar.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Esta reunión revisa el período más reciente y alimenta los aprendizajes al Registro de Aprendizajes (Capa 6) y a la cola de Propuestas Futuras.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Propósito:</w:t>
      </w:r>
      <w:r>
        <w:t xml:space="preserve"> </w:t>
      </w:r>
      <w:r>
        <w:t xml:space="preserve">Revisar la experiencia, detectar patrones, capturar aprendizajes, retroalimentar el marco con las conclusiones.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Alcance de decisión:</w:t>
      </w:r>
      <w:r>
        <w:t xml:space="preserve"> </w:t>
      </w:r>
      <w:r>
        <w:t xml:space="preserve">Puede producir propuestas de cambio; no tiene autoridad directa de decisión a menos que esté especificado en la Matriz de Decisión.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Participantes obligatorios:</w:t>
      </w:r>
      <w:r>
        <w:t xml:space="preserve"> 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Cadencia:</w:t>
      </w:r>
      <w:r>
        <w:t xml:space="preserve"> </w:t>
      </w:r>
      <w:r>
        <w:rPr>
          <w:i/>
          <w:iCs/>
        </w:rPr>
        <w:t xml:space="preserve">&lt;trimestral.&gt;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Límite de duración:</w:t>
      </w:r>
      <w:r>
        <w:t xml:space="preserve"> </w:t>
      </w:r>
      <w:r>
        <w:rPr>
          <w:i/>
          <w:iCs/>
        </w:rPr>
        <w:t xml:space="preserve">&lt;p. ej. 90 minutos.&gt;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Facilitación:</w:t>
      </w:r>
      <w:r>
        <w:t xml:space="preserve"> </w:t>
      </w:r>
      <w:r>
        <w:rPr>
          <w:i/>
          <w:iCs/>
        </w:rPr>
        <w:t xml:space="preserve">&lt;rol de facilitador/a.&gt;</w:t>
      </w:r>
    </w:p>
    <w:bookmarkStart w:id="27" w:name="estructura-de-la-agenda-3"/>
    <w:p>
      <w:pPr>
        <w:pStyle w:val="Heading3"/>
      </w:pPr>
      <w:r>
        <w:t xml:space="preserve">Estructura de la Agenda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Check-in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Revisión de los aspectos destacados del período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Qué funcionó bien</w:t>
      </w:r>
      <w:r>
        <w:t xml:space="preserve"> </w:t>
      </w:r>
      <w:r>
        <w:rPr>
          <w:i/>
          <w:iCs/>
        </w:rPr>
        <w:t xml:space="preserve">&lt;duración&gt;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Qué no funcionó / qué haríamos diferente</w:t>
      </w:r>
      <w:r>
        <w:t xml:space="preserve"> </w:t>
      </w:r>
      <w:r>
        <w:rPr>
          <w:i/>
          <w:iCs/>
        </w:rPr>
        <w:t xml:space="preserve">&lt;duración; sin culpas, enfocarse en patrones.&gt;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Aprendizajes a llevar adelante</w:t>
      </w:r>
      <w:r>
        <w:t xml:space="preserve"> </w:t>
      </w:r>
      <w:r>
        <w:rPr>
          <w:i/>
          <w:iCs/>
        </w:rPr>
        <w:t xml:space="preserve">&lt;duración; identificar entradas para el Registro de Aprendizajes.&gt;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Actualizaciones al registro de aprendizajes y propuestas futuras</w:t>
      </w:r>
      <w:r>
        <w:t xml:space="preserve"> </w:t>
      </w:r>
      <w:r>
        <w:rPr>
          <w:i/>
          <w:iCs/>
        </w:rPr>
        <w:t xml:space="preserve">&lt;duración.&gt;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Check-out</w:t>
      </w:r>
      <w:r>
        <w:t xml:space="preserve"> </w:t>
      </w:r>
      <w:r>
        <w:rPr>
          <w:i/>
          <w:iCs/>
        </w:rPr>
        <w:t xml:space="preserve">&lt;duración&gt;</w:t>
      </w:r>
    </w:p>
    <w:bookmarkEnd w:id="27"/>
    <w:bookmarkStart w:id="28" w:name="notas-y-registros-3"/>
    <w:p>
      <w:pPr>
        <w:pStyle w:val="Heading3"/>
      </w:pPr>
      <w:r>
        <w:t xml:space="preserve">Notas y Registros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Fecha: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Facilitador/a: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Asistentes: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Notas: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Entradas en el Registro de Aprendizajes generadas:</w:t>
      </w:r>
      <w:r>
        <w:t xml:space="preserve"> </w:t>
      </w:r>
      <w:r>
        <w:rPr>
          <w:i/>
          <w:iCs/>
        </w:rPr>
        <w:t xml:space="preserve">&lt;lista o</w:t>
      </w:r>
      <w:r>
        <w:rPr>
          <w:i/>
          <w:iCs/>
        </w:rPr>
        <w:t xml:space="preserve"> </w:t>
      </w:r>
      <w:r>
        <w:rPr>
          <w:i/>
          <w:iCs/>
        </w:rPr>
        <w:t xml:space="preserve">“ninguna”</w:t>
      </w:r>
      <w:r>
        <w:rPr>
          <w:i/>
          <w:iCs/>
        </w:rPr>
        <w:t xml:space="preserve">&gt;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Propuestas futuras añadidas:</w:t>
      </w:r>
      <w:r>
        <w:t xml:space="preserve"> </w:t>
      </w:r>
      <w:r>
        <w:rPr>
          <w:i/>
          <w:iCs/>
        </w:rPr>
        <w:t xml:space="preserve">&lt;lista o</w:t>
      </w:r>
      <w:r>
        <w:rPr>
          <w:i/>
          <w:iCs/>
        </w:rPr>
        <w:t xml:space="preserve"> </w:t>
      </w:r>
      <w:r>
        <w:rPr>
          <w:i/>
          <w:iCs/>
        </w:rPr>
        <w:t xml:space="preserve">“ninguna”</w:t>
      </w:r>
      <w:r>
        <w:rPr>
          <w:i/>
          <w:iCs/>
        </w:rPr>
        <w:t xml:space="preserve">&gt;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tipo-de-reunión-gestión-de-conflictos"/>
    <w:p>
      <w:pPr>
        <w:pStyle w:val="Heading2"/>
      </w:pPr>
      <w:r>
        <w:t xml:space="preserve">Tipo de Reunión: Gestión de Conflictos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7.2.3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7.6.4</w:t>
        </w:r>
      </w:hyperlink>
      <w:r>
        <w:rPr>
          <w:i/>
          <w:iCs/>
        </w:rPr>
        <w:t xml:space="preserve">; ver también Capa 4 —</w:t>
      </w:r>
      <w:r>
        <w:rPr>
          <w:i/>
          <w:iCs/>
        </w:rPr>
        <w:t xml:space="preserve"> </w:t>
      </w:r>
      <w:hyperlink r:id="rId30">
        <w:r>
          <w:rPr>
            <w:rStyle w:val="Hyperlink"/>
            <w:i/>
            <w:iCs/>
          </w:rPr>
          <w:t xml:space="preserve">Escalera de Resolución de Conflictos</w:t>
        </w:r>
      </w:hyperlink>
    </w:p>
    <w:p>
      <w:pPr>
        <w:pStyle w:val="BlockText"/>
      </w:pPr>
      <w:r>
        <w:rPr>
          <w:b/>
          <w:bCs/>
        </w:rPr>
        <w:t xml:space="preserve">Justificación — ¿Por qué un tipo de reunión distinto para conflictos</w:t>
      </w:r>
    </w:p>
    <w:p>
      <w:pPr>
        <w:pStyle w:val="BlockText"/>
      </w:pPr>
      <w:r>
        <w:t xml:space="preserve">El trabajo con conflictos tiene reglas que otras reuniones no tienen: confidencialidad, selección de Facilitador/a que no depende de la preferencia de las partes, protecciones contra represalias y registros restringidos. Usar la plantilla de Operaciones para una sesión de conflicto violaría silenciosamente todas estas reglas. Una plantilla dedicada hace visible el contenedor diferente desde el primer minuto.</w:t>
      </w:r>
    </w:p>
    <w:p>
      <w:pPr>
        <w:pStyle w:val="BlockText"/>
      </w:pPr>
      <w:r>
        <w:rPr>
          <w:b/>
          <w:bCs/>
        </w:rPr>
        <w:t xml:space="preserve">Instrucciones — Cómo rellenar esto</w:t>
      </w:r>
    </w:p>
    <w:p>
      <w:pPr>
        <w:pStyle w:val="BlockText"/>
      </w:pPr>
      <w:r>
        <w:t xml:space="preserve">Usa esta plantilla solo para sesiones facilitadas bajo los Pasos 2–4 de la Escalera de Resolución de Conflictos. Las reglas de privacidad y selección del Facilitador/a están gobernadas por la Capa 4, no por la reunión en sí.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Propósito:</w:t>
      </w:r>
      <w:r>
        <w:t xml:space="preserve"> </w:t>
      </w:r>
      <w:r>
        <w:t xml:space="preserve">Facilitar la resolución en un paso definido de la escalera (Escalera de Resolución de Conflictos, Pasos 2–4).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Alcance de decisión:</w:t>
      </w:r>
      <w:r>
        <w:t xml:space="preserve"> </w:t>
      </w:r>
      <w:r>
        <w:t xml:space="preserve">Produce planes de reparación, acuerdos o decisiones de escalamiento; los resultados vinculantes requieren la autoridad definida en la Escalera de Resolución de Conflictos y la Matriz de Decisión.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Participantes obligatorios:</w:t>
      </w:r>
      <w:r>
        <w:t xml:space="preserve"> </w:t>
      </w:r>
      <w:r>
        <w:t xml:space="preserve">Las partes del conflicto; Facilitador/a asignado/a (según las reglas de selección de la Escalera de Resolución de Conflictos).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Participantes opcionales:</w:t>
      </w:r>
      <w:r>
        <w:t xml:space="preserve"> </w:t>
      </w:r>
      <w:r>
        <w:t xml:space="preserve">Una persona de apoyo, por consentimiento mutuo por escrito de todas las partes.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Cadencia:</w:t>
      </w:r>
      <w:r>
        <w:t xml:space="preserve"> </w:t>
      </w:r>
      <w:r>
        <w:t xml:space="preserve">Según sea necesario; se activa por recepción del caso.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Límite de duración:</w:t>
      </w:r>
      <w:r>
        <w:t xml:space="preserve"> </w:t>
      </w:r>
      <w:r>
        <w:rPr>
          <w:i/>
          <w:iCs/>
        </w:rPr>
        <w:t xml:space="preserve">&lt;típicamente 60–90 minutos; el Facilitador/a puede extender.&gt;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Facilitación:</w:t>
      </w:r>
      <w:r>
        <w:t xml:space="preserve"> </w:t>
      </w:r>
      <w:r>
        <w:t xml:space="preserve">Seleccionado/a según la Escalera de Resolución de Conflictos (Capa 4) — no elegido/a por las partes mismas.</w:t>
      </w:r>
    </w:p>
    <w:p>
      <w:pPr>
        <w:pStyle w:val="BlockText"/>
      </w:pPr>
      <w:r>
        <w:rPr>
          <w:b/>
          <w:bCs/>
        </w:rPr>
        <w:t xml:space="preserve">Nota de privacidad:</w:t>
      </w:r>
      <w:r>
        <w:t xml:space="preserve"> </w:t>
      </w:r>
      <w:r>
        <w:t xml:space="preserve">Los registros de este tipo de reunión están sujetos a los límites de privacidad y acceso a la información definidos en la Escalera de Resolución de Conflictos (Capa 4). No se publican en el registro general de miembros por defecto.</w:t>
      </w:r>
    </w:p>
    <w:bookmarkStart w:id="31" w:name="estructura-de-la-agenda-4"/>
    <w:p>
      <w:pPr>
        <w:pStyle w:val="Heading3"/>
      </w:pPr>
      <w:r>
        <w:t xml:space="preserve">Estructura de la Agenda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Apertura y reglas básicas</w:t>
      </w:r>
      <w:r>
        <w:t xml:space="preserve"> </w:t>
      </w:r>
      <w:r>
        <w:rPr>
          <w:i/>
          <w:iCs/>
        </w:rPr>
        <w:t xml:space="preserve">&lt;duración; consentimiento, confidencialidad, anti-represalias, derecho a pausar.&gt;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Cada parte comparte su perspectiva</w:t>
      </w:r>
      <w:r>
        <w:t xml:space="preserve"> </w:t>
      </w:r>
      <w:r>
        <w:rPr>
          <w:i/>
          <w:iCs/>
        </w:rPr>
        <w:t xml:space="preserve">&lt;sin interrupciones; tiempo igual.&gt;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Verificación de entendimiento compartido</w:t>
      </w:r>
      <w:r>
        <w:t xml:space="preserve"> </w:t>
      </w:r>
      <w:r>
        <w:rPr>
          <w:i/>
          <w:iCs/>
        </w:rPr>
        <w:t xml:space="preserve">&lt;duración.&gt;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Necesidades y peticiones</w:t>
      </w:r>
      <w:r>
        <w:t xml:space="preserve"> </w:t>
      </w:r>
      <w:r>
        <w:rPr>
          <w:i/>
          <w:iCs/>
        </w:rPr>
        <w:t xml:space="preserve">&lt;duración.&gt;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Opciones de reparación o acuerdo</w:t>
      </w:r>
      <w:r>
        <w:t xml:space="preserve"> </w:t>
      </w:r>
      <w:r>
        <w:rPr>
          <w:i/>
          <w:iCs/>
        </w:rPr>
        <w:t xml:space="preserve">&lt;duración.&gt;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Decisión o siguiente paso</w:t>
      </w:r>
      <w:r>
        <w:t xml:space="preserve"> </w:t>
      </w:r>
      <w:r>
        <w:rPr>
          <w:i/>
          <w:iCs/>
        </w:rPr>
        <w:t xml:space="preserve">&lt;duración.&gt;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Documentación</w:t>
      </w:r>
      <w:r>
        <w:t xml:space="preserve"> </w:t>
      </w:r>
      <w:r>
        <w:rPr>
          <w:i/>
          <w:iCs/>
        </w:rPr>
        <w:t xml:space="preserve">&lt;duración; registro según las reglas de privacidad de la Capa 4.&gt;</w:t>
      </w:r>
    </w:p>
    <w:bookmarkEnd w:id="31"/>
    <w:bookmarkStart w:id="32" w:name="formato-de-registro"/>
    <w:p>
      <w:pPr>
        <w:pStyle w:val="Heading3"/>
      </w:pPr>
      <w:r>
        <w:t xml:space="preserve">Formato de Registro</w:t>
      </w:r>
    </w:p>
    <w:p>
      <w:pPr>
        <w:pStyle w:val="BlockText"/>
      </w:pPr>
      <w:r>
        <w:t xml:space="preserve">Este registro es confidencial. El acceso está restringido según la Escalera de Resolución de Conflictos (Capa 4).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Fecha: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Facilitador/a: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Partes presentes: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Paso de la escalera: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Clase de conflicto: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Resultado:</w:t>
      </w:r>
      <w:r>
        <w:t xml:space="preserve"> </w:t>
      </w:r>
      <w:r>
        <w:rPr>
          <w:i/>
          <w:iCs/>
        </w:rPr>
        <w:t xml:space="preserve">&lt;Acuerdo alcanzado / Escalado al siguiente paso / Aplazado&gt;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Acciones acordadas (si las hay):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Destino de escalamiento (si aplica):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Acceso:</w:t>
      </w:r>
      <w:r>
        <w:t xml:space="preserve"> </w:t>
      </w:r>
      <w:r>
        <w:t xml:space="preserve">Solo las partes y el Facilitador/a; se divulga a los Miembros Plenos solo si se escala al paso de gobernanza.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registro-de-ratificación"/>
    <w:p>
      <w:pPr>
        <w:pStyle w:val="Heading2"/>
      </w:pPr>
      <w:r>
        <w:t xml:space="preserve">Registro de Ratificación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Adoptado:</w:t>
      </w:r>
      <w:r>
        <w:t xml:space="preserve"> 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Estratégica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Versión:</w:t>
      </w:r>
      <w:r>
        <w:t xml:space="preserve"> </w:t>
      </w:r>
      <w:r>
        <w:t xml:space="preserve">&lt;versión&gt;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Registro de decisión:</w:t>
      </w:r>
      <w:r>
        <w:t xml:space="preserve"> </w:t>
      </w:r>
      <w:r>
        <w:t xml:space="preserve">&lt;enlace al registro de decisión&gt;</w:t>
      </w:r>
    </w:p>
    <w:bookmarkEnd w:id="34"/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30" Target="https://blueprint.ecohubs.community/es/articles/rcos-core/v0-1/layer-4-conflict-repair-accountability#62-resolution-pathways" TargetMode="External" /><Relationship Type="http://schemas.openxmlformats.org/officeDocument/2006/relationships/hyperlink" Id="rId14" Target="https://blueprint.ecohubs.community/es/articles/rcos-core/v0-1/layer-5-operations-coordination#72-meeting-system" TargetMode="External" /><Relationship Type="http://schemas.openxmlformats.org/officeDocument/2006/relationships/hyperlink" Id="rId15" Target="https://blueprint.ecohubs.community/es/articles/rcos-core/v0-1/layer-5-operations-coordination#76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5/meeting-templat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blueprint.ecohubs.community/es/articles/rcos-core/v0-1/layer-4-conflict-repair-accountability#62-resolution-pathways" TargetMode="External" /><Relationship Type="http://schemas.openxmlformats.org/officeDocument/2006/relationships/hyperlink" Id="rId14" Target="https://blueprint.ecohubs.community/es/articles/rcos-core/v0-1/layer-5-operations-coordination#72-meeting-system" TargetMode="External" /><Relationship Type="http://schemas.openxmlformats.org/officeDocument/2006/relationships/hyperlink" Id="rId15" Target="https://blueprint.ecohubs.community/es/articles/rcos-core/v0-1/layer-5-operations-coordination#76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5/meeting-templat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2026-04-29T01:58:23Z</dcterms:created>
  <dcterms:modified xsi:type="dcterms:W3CDTF">2026-04-29T01:58:23Z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Plantillas de Reuniones</vt:lpwstr>
  </property>
</Properties>
</file>