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609600" cy="609600"/>
            <wp:effectExtent b="0" l="0" r="0" t="0"/>
            <wp:docPr descr="RCOS" title="" id="10" name="Picture"/>
            <a:graphic>
              <a:graphicData uri="http://schemas.openxmlformats.org/drawingml/2006/picture">
                <pic:pic>
                  <pic:nvPicPr>
                    <pic:cNvPr descr="/Users/el_stefano/Documents/Development/svelte/regenerative-community-blueprint/scripts/logo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RCOS — Sistema Operativo de Comunidad Regenerativa</w:t>
      </w:r>
    </w:p>
    <w:bookmarkStart w:id="28" w:name="protocolo-de-economía-interna"/>
    <w:p>
      <w:pPr>
        <w:pStyle w:val="Heading1"/>
      </w:pPr>
      <w:r>
        <w:t xml:space="preserve">Protocolo de Economía Interna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Generado:</w:t>
      </w:r>
      <w:r>
        <w:t xml:space="preserve"> </w:t>
      </w:r>
      <w:r>
        <w:t xml:space="preserve">2026-04-29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Fuente (versión más reciente):</w:t>
      </w:r>
      <w:r>
        <w:t xml:space="preserve"> </w:t>
      </w:r>
      <w:hyperlink r:id="rId12">
        <w:r>
          <w:rPr>
            <w:rStyle w:val="Hyperlink"/>
          </w:rPr>
          <w:t xml:space="preserve">https://blueprint.ecohubs.community/es/articles/rcos-templates/layer-3/internal-economy-protocol</w:t>
        </w:r>
      </w:hyperlink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Todas las plantillas RCOS:</w:t>
      </w:r>
      <w:r>
        <w:t xml:space="preserve"> </w:t>
      </w:r>
      <w:hyperlink r:id="rId13">
        <w:r>
          <w:rPr>
            <w:rStyle w:val="Hyperlink"/>
          </w:rPr>
          <w:t xml:space="preserve">https://blueprint.ecohubs.community/es/articles/rcos-templates</w:t>
        </w:r>
      </w:hyperlink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Capa:</w:t>
      </w:r>
      <w:r>
        <w:t xml:space="preserve"> </w:t>
      </w:r>
      <w:r>
        <w:t xml:space="preserve">3 — Sistema Económico y de Recursos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Estado:</w:t>
      </w:r>
      <w:r>
        <w:t xml:space="preserve"> </w:t>
      </w:r>
      <w:r>
        <w:t xml:space="preserve">Plantilla — adaptar para tu comunidad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Referencia RCOS:</w:t>
      </w:r>
      <w:r>
        <w:t xml:space="preserve"> </w:t>
      </w:r>
      <w:hyperlink r:id="rId14">
        <w:r>
          <w:rPr>
            <w:rStyle w:val="Hyperlink"/>
          </w:rPr>
          <w:t xml:space="preserve">§5.1</w:t>
        </w:r>
      </w:hyperlink>
      <w:r>
        <w:t xml:space="preserve">,</w:t>
      </w:r>
      <w:r>
        <w:t xml:space="preserve"> </w:t>
      </w:r>
      <w:hyperlink r:id="rId15">
        <w:r>
          <w:rPr>
            <w:rStyle w:val="Hyperlink"/>
          </w:rPr>
          <w:t xml:space="preserve">§5.2</w:t>
        </w:r>
      </w:hyperlink>
      <w:r>
        <w:t xml:space="preserve">,</w:t>
      </w:r>
      <w:r>
        <w:t xml:space="preserve"> </w:t>
      </w:r>
      <w:hyperlink r:id="rId16">
        <w:r>
          <w:rPr>
            <w:rStyle w:val="Hyperlink"/>
          </w:rPr>
          <w:t xml:space="preserve">§5.4</w:t>
        </w:r>
      </w:hyperlink>
      <w:r>
        <w:t xml:space="preserve">,</w:t>
      </w:r>
      <w:r>
        <w:t xml:space="preserve"> </w:t>
      </w:r>
      <w:hyperlink r:id="rId17">
        <w:r>
          <w:rPr>
            <w:rStyle w:val="Hyperlink"/>
          </w:rPr>
          <w:t xml:space="preserve">§5.5</w:t>
        </w:r>
      </w:hyperlink>
    </w:p>
    <w:p>
      <w:r>
        <w:pict>
          <v:rect style="width:0;height:1.5pt" o:hralign="center" o:hrstd="t" o:hr="t"/>
        </w:pict>
      </w:r>
    </w:p>
    <w:bookmarkStart w:id="19" w:name="Xd60675b8c4c894b044bfa7069115b5bf82752d5"/>
    <w:p>
      <w:pPr>
        <w:pStyle w:val="Heading2"/>
      </w:pPr>
      <w:r>
        <w:t xml:space="preserve">Clasificación de Bienes Comunes vs. Privados</w:t>
      </w:r>
    </w:p>
    <w:p>
      <w:pPr>
        <w:pStyle w:val="FirstParagraph"/>
      </w:pPr>
      <w:r>
        <w:rPr>
          <w:i/>
          <w:iCs/>
        </w:rPr>
        <w:t xml:space="preserve">Cláusulas RCOS: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5.1.1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5.1.2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5.1.3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5.1.4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5.1.5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8">
        <w:r>
          <w:rPr>
            <w:rStyle w:val="Hyperlink"/>
            <w:i/>
            <w:iCs/>
          </w:rPr>
          <w:t xml:space="preserve">5.6.2</w:t>
        </w:r>
      </w:hyperlink>
    </w:p>
    <w:p>
      <w:pPr>
        <w:pStyle w:val="BlockText"/>
      </w:pPr>
      <w:r>
        <w:rPr>
          <w:b/>
          <w:bCs/>
        </w:rPr>
        <w:t xml:space="preserve">Justificación — ¿Por qué clasificar cada recurso</w:t>
      </w:r>
    </w:p>
    <w:p>
      <w:pPr>
        <w:pStyle w:val="BlockText"/>
      </w:pPr>
      <w:r>
        <w:t xml:space="preserve">Los recursos sin clasificar son donde ocurre la privatización silenciosa: alguien empieza a tratar un bien compartido como personal, o un bien privado se absorbe silenciosamente en las obligaciones comunitarias, y para cuando alguien se da cuenta la norma ya cambió. La clasificación explícita, con custodios y reglas de transferencia nombrados desde el inicio, convierte cualquier cambio de ese estado en un acto de gobernanza visible en lugar de un hecho que se impone gradualmente.</w:t>
      </w:r>
    </w:p>
    <w:p>
      <w:pPr>
        <w:pStyle w:val="BlockText"/>
      </w:pPr>
      <w:r>
        <w:rPr>
          <w:b/>
          <w:bCs/>
        </w:rPr>
        <w:t xml:space="preserve">Instrucciones — Cómo rellenar esto</w:t>
      </w:r>
    </w:p>
    <w:p>
      <w:pPr>
        <w:pStyle w:val="BlockText"/>
      </w:pPr>
      <w:r>
        <w:t xml:space="preserve">Para cada recurso que posea la comunidad, declara la clasificación (Bienes Comunes / Privado), nombra un custodio, define reglas de acceso y establece restricciones de transferencia. Los recursos sin clasificar no DEBEN ser asignados, gravados, monetizados ni transferidos hasta que estén clasificados.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Recurso</w:t>
            </w:r>
          </w:p>
        </w:tc>
        <w:tc>
          <w:tcPr/>
          <w:p>
            <w:pPr>
              <w:pStyle w:val="Compact"/>
            </w:pPr>
            <w:r>
              <w:t xml:space="preserve">Clasificación</w:t>
            </w:r>
          </w:p>
        </w:tc>
        <w:tc>
          <w:tcPr/>
          <w:p>
            <w:pPr>
              <w:pStyle w:val="Compact"/>
            </w:pPr>
            <w:r>
              <w:t xml:space="preserve">Custodio</w:t>
            </w:r>
          </w:p>
        </w:tc>
        <w:tc>
          <w:tcPr/>
          <w:p>
            <w:pPr>
              <w:pStyle w:val="Compact"/>
            </w:pPr>
            <w:r>
              <w:t xml:space="preserve">Reglas de acceso</w:t>
            </w:r>
          </w:p>
        </w:tc>
        <w:tc>
          <w:tcPr/>
          <w:p>
            <w:pPr>
              <w:pStyle w:val="Compact"/>
            </w:pPr>
            <w:r>
              <w:t xml:space="preserve">Restricciones de transferencia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&lt;p. ej. Especificación y artefactos RCOS&gt;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&lt;Bienes Comunes / Privado&gt;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&lt;quién lee / escribe&gt;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&lt;p. ej. Tesorería compartida&gt;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&lt;…&gt;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&lt;…&gt;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&lt;…&gt;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&lt;…&gt;</w:t>
            </w: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&lt;p. ej. Sitio web / dominios de la comunidad&gt;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&lt;…&gt;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&lt;…&gt;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&lt;…&gt;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&lt;…&gt;</w:t>
            </w: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&lt;p. ej. Marca y cuentas en redes sociales&gt;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&lt;…&gt;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&lt;…&gt;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&lt;…&gt;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&lt;…&gt;</w:t>
            </w: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&lt;p. ej. Terreno o infraestructura física&gt;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&lt;…&gt;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&lt;…&gt;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&lt;…&gt;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&lt;…&gt;</w:t>
            </w:r>
          </w:p>
        </w:tc>
      </w:tr>
    </w:tbl>
    <w:p>
      <w:pPr>
        <w:pStyle w:val="BlockText"/>
      </w:pPr>
      <w:r>
        <w:t xml:space="preserve">Cualquier recurso sin clasificar no DEBE ser asignado, gravado, monetizado ni transferido hasta que se complete la clasificación.</w:t>
      </w:r>
    </w:p>
    <w:bookmarkEnd w:id="19"/>
    <w:bookmarkStart w:id="20" w:name="categorías-de-contribución-reconocidas"/>
    <w:p>
      <w:pPr>
        <w:pStyle w:val="Heading2"/>
      </w:pPr>
      <w:r>
        <w:t xml:space="preserve">Categorías de Contribución Reconocidas</w:t>
      </w:r>
    </w:p>
    <w:p>
      <w:pPr>
        <w:pStyle w:val="FirstParagraph"/>
      </w:pPr>
      <w:r>
        <w:rPr>
          <w:i/>
          <w:iCs/>
        </w:rPr>
        <w:t xml:space="preserve">Cláusulas RCOS:</w:t>
      </w:r>
      <w:r>
        <w:rPr>
          <w:i/>
          <w:iCs/>
        </w:rPr>
        <w:t xml:space="preserve"> </w:t>
      </w:r>
      <w:hyperlink r:id="rId15">
        <w:r>
          <w:rPr>
            <w:rStyle w:val="Hyperlink"/>
            <w:i/>
            <w:iCs/>
          </w:rPr>
          <w:t xml:space="preserve">5.2.1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5">
        <w:r>
          <w:rPr>
            <w:rStyle w:val="Hyperlink"/>
            <w:i/>
            <w:iCs/>
          </w:rPr>
          <w:t xml:space="preserve">5.2.3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8">
        <w:r>
          <w:rPr>
            <w:rStyle w:val="Hyperlink"/>
            <w:i/>
            <w:iCs/>
          </w:rPr>
          <w:t xml:space="preserve">5.6.3</w:t>
        </w:r>
      </w:hyperlink>
    </w:p>
    <w:p>
      <w:pPr>
        <w:pStyle w:val="BlockText"/>
      </w:pPr>
      <w:r>
        <w:rPr>
          <w:b/>
          <w:bCs/>
        </w:rPr>
        <w:t xml:space="preserve">Justificación — ¿Por qué nombrar los tipos de trabajo que cuentan</w:t>
      </w:r>
    </w:p>
    <w:p>
      <w:pPr>
        <w:pStyle w:val="BlockText"/>
      </w:pPr>
      <w:r>
        <w:t xml:space="preserve">Si la comunidad nunca dice en voz alta de qué tipos de trabajo depende, el trabajo invisible — cuidado, facilitación, moderación, custodia — permanece invisible, y las personas que lo realizan se agotan o se van. Enumerar las categorías convierte</w:t>
      </w:r>
      <w:r>
        <w:t xml:space="preserve"> </w:t>
      </w:r>
      <w:r>
        <w:t xml:space="preserve">“alguien simplemente hace esto”</w:t>
      </w:r>
      <w:r>
        <w:t xml:space="preserve"> </w:t>
      </w:r>
      <w:r>
        <w:t xml:space="preserve">en trabajo reconocido que el sistema tiene que tener en cuenta.</w:t>
      </w:r>
    </w:p>
    <w:p>
      <w:pPr>
        <w:pStyle w:val="BlockText"/>
      </w:pPr>
      <w:r>
        <w:rPr>
          <w:b/>
          <w:bCs/>
        </w:rPr>
        <w:t xml:space="preserve">Instrucciones — Cómo rellenar esto</w:t>
      </w:r>
    </w:p>
    <w:p>
      <w:pPr>
        <w:pStyle w:val="BlockText"/>
      </w:pPr>
      <w:r>
        <w:t xml:space="preserve">Enumera las categorías de contribución que tu comunidad reconoce. El cuidado, la facilitación, la custodia y la participación informal suelen estar insuficientemente reconocidos — nómbralos explícitamente si aplican.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Categoría</w:t>
            </w:r>
          </w:p>
        </w:tc>
        <w:tc>
          <w:tcPr/>
          <w:p>
            <w:pPr>
              <w:pStyle w:val="Compact"/>
            </w:pPr>
            <w:r>
              <w:t xml:space="preserve">Ejemplos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&lt;p. ej. Conocimiento e Investigación&gt;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&lt;p. ej. Desarrollo Técnico&gt;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&lt;p. ej. Gobernanza y Coordinación&gt;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&lt;p. ej. Construcción de Comunidad&gt;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&lt;p. ej. Cuidado y Apoyo&gt;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&lt;p. ej. Custodia&gt;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&lt;p. ej. Participación Informal&gt;</w:t>
            </w:r>
          </w:p>
        </w:tc>
        <w:tc>
          <w:tcPr/>
          <w:p>
            <w:pPr>
              <w:pStyle w:val="Compact"/>
            </w:pPr>
          </w:p>
        </w:tc>
      </w:tr>
    </w:tbl>
    <w:bookmarkEnd w:id="20"/>
    <w:bookmarkStart w:id="21" w:name="X4cd1c08363d63d9fe87964e6eaa2065653b6d07"/>
    <w:p>
      <w:pPr>
        <w:pStyle w:val="Heading2"/>
      </w:pPr>
      <w:r>
        <w:t xml:space="preserve">Mecanismo de Reconocimiento de Contribuciones</w:t>
      </w:r>
    </w:p>
    <w:p>
      <w:pPr>
        <w:pStyle w:val="FirstParagraph"/>
      </w:pPr>
      <w:r>
        <w:rPr>
          <w:i/>
          <w:iCs/>
        </w:rPr>
        <w:t xml:space="preserve">Cláusulas RCOS:</w:t>
      </w:r>
      <w:r>
        <w:rPr>
          <w:i/>
          <w:iCs/>
        </w:rPr>
        <w:t xml:space="preserve"> </w:t>
      </w:r>
      <w:hyperlink r:id="rId15">
        <w:r>
          <w:rPr>
            <w:rStyle w:val="Hyperlink"/>
            <w:i/>
            <w:iCs/>
          </w:rPr>
          <w:t xml:space="preserve">5.2.2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5">
        <w:r>
          <w:rPr>
            <w:rStyle w:val="Hyperlink"/>
            <w:i/>
            <w:iCs/>
          </w:rPr>
          <w:t xml:space="preserve">5.2.5</w:t>
        </w:r>
      </w:hyperlink>
    </w:p>
    <w:p>
      <w:pPr>
        <w:pStyle w:val="BlockText"/>
      </w:pPr>
      <w:r>
        <w:rPr>
          <w:b/>
          <w:bCs/>
        </w:rPr>
        <w:t xml:space="preserve">Justificación — ¿Por qué definir cómo funciona realmente el reconocimiento</w:t>
      </w:r>
    </w:p>
    <w:p>
      <w:pPr>
        <w:pStyle w:val="BlockText"/>
      </w:pPr>
      <w:r>
        <w:t xml:space="preserve">Sin un mecanismo definido,</w:t>
      </w:r>
      <w:r>
        <w:t xml:space="preserve"> </w:t>
      </w:r>
      <w:r>
        <w:t xml:space="preserve">“quién obtiene crédito”</w:t>
      </w:r>
      <w:r>
        <w:t xml:space="preserve"> </w:t>
      </w:r>
      <w:r>
        <w:t xml:space="preserve">se convierte en una cuestión de quién habla más fuerte o está más cerca de quien decide. Especificar qué califica, cómo se registra, quién valida y cómo se impugna convierte el reconocimiento en algo con lo que un miembro puede contar de verdad — y evita que el reconocimiento mute silenciosamente en influencia de gobernanza.</w:t>
      </w:r>
    </w:p>
    <w:p>
      <w:pPr>
        <w:pStyle w:val="BlockText"/>
      </w:pPr>
      <w:r>
        <w:rPr>
          <w:b/>
          <w:bCs/>
        </w:rPr>
        <w:t xml:space="preserve">Instrucciones — Cómo rellenar esto</w:t>
      </w:r>
    </w:p>
    <w:p>
      <w:pPr>
        <w:pStyle w:val="BlockText"/>
      </w:pPr>
      <w:r>
        <w:t xml:space="preserve">Indica qué califica, cómo se registran los reconocimientos, quién valida, qué desbloquean (o no desbloquean) y cómo los miembros impugnan un registro.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Qué califica:</w:t>
      </w:r>
      <w:r>
        <w:t xml:space="preserve"> </w:t>
      </w:r>
      <w:r>
        <w:rPr>
          <w:i/>
          <w:iCs/>
        </w:rPr>
        <w:t xml:space="preserve">&lt;qué actividades cuentan y a declaración de quién.&gt;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Cómo se registran las contribuciones:</w:t>
      </w:r>
      <w:r>
        <w:t xml:space="preserve"> </w:t>
      </w:r>
      <w:r>
        <w:rPr>
          <w:i/>
          <w:iCs/>
        </w:rPr>
        <w:t xml:space="preserve">&lt;canal estructurado; canal informal/auto-reportado.&gt;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Quién valida:</w:t>
      </w:r>
      <w:r>
        <w:t xml:space="preserve"> </w:t>
      </w:r>
      <w:r>
        <w:rPr>
          <w:i/>
          <w:iCs/>
        </w:rPr>
        <w:t xml:space="preserve">&lt;automático / titular de rol / proceso de nominación.&gt;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Efecto en acceso/privilegios:</w:t>
      </w:r>
      <w:r>
        <w:t xml:space="preserve"> </w:t>
      </w:r>
      <w:r>
        <w:rPr>
          <w:i/>
          <w:iCs/>
        </w:rPr>
        <w:t xml:space="preserve">&lt;el reconocimiento solo afecta el saldo de unidades internas; no otorga derechos de gobernanza adicionales más allá del estado de membresía.&gt;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Impugnación:</w:t>
      </w:r>
      <w:r>
        <w:t xml:space="preserve"> </w:t>
      </w:r>
    </w:p>
    <w:bookmarkEnd w:id="21"/>
    <w:bookmarkStart w:id="22" w:name="unidades-internas"/>
    <w:p>
      <w:pPr>
        <w:pStyle w:val="Heading2"/>
      </w:pPr>
      <w:r>
        <w:t xml:space="preserve">Unidades Internas</w:t>
      </w:r>
    </w:p>
    <w:p>
      <w:pPr>
        <w:pStyle w:val="FirstParagraph"/>
      </w:pPr>
      <w:r>
        <w:rPr>
          <w:i/>
          <w:iCs/>
        </w:rPr>
        <w:t xml:space="preserve">Cláusulas RCOS:</w:t>
      </w:r>
      <w:r>
        <w:rPr>
          <w:i/>
          <w:iCs/>
        </w:rPr>
        <w:t xml:space="preserve"> </w:t>
      </w:r>
      <w:hyperlink r:id="rId15">
        <w:r>
          <w:rPr>
            <w:rStyle w:val="Hyperlink"/>
            <w:i/>
            <w:iCs/>
          </w:rPr>
          <w:t xml:space="preserve">5.2.4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5">
        <w:r>
          <w:rPr>
            <w:rStyle w:val="Hyperlink"/>
            <w:i/>
            <w:iCs/>
          </w:rPr>
          <w:t xml:space="preserve">5.2.5</w:t>
        </w:r>
      </w:hyperlink>
    </w:p>
    <w:p>
      <w:pPr>
        <w:pStyle w:val="BlockText"/>
      </w:pPr>
      <w:r>
        <w:rPr>
          <w:b/>
          <w:bCs/>
        </w:rPr>
        <w:t xml:space="preserve">Justificación — ¿Por qué definir las unidades internas con tanta precisión</w:t>
      </w:r>
    </w:p>
    <w:p>
      <w:pPr>
        <w:pStyle w:val="BlockText"/>
      </w:pPr>
      <w:r>
        <w:t xml:space="preserve">Las unidades internas tienden a adquirir poderes que nadie votó — decaimiento, topes, transferibilidad, peso en la gobernanza — a menos que cada propiedad quede fijada por escrito. Listar la emisión, reglas de transferencia, privacidad y su estatus explícito de no-gobernanza hace que las unidades sean herramientas de reconocimiento en lugar de monedas sombra silenciosas.</w:t>
      </w:r>
    </w:p>
    <w:p>
      <w:pPr>
        <w:pStyle w:val="BlockText"/>
      </w:pPr>
      <w:r>
        <w:rPr>
          <w:b/>
          <w:bCs/>
        </w:rPr>
        <w:t xml:space="preserve">Instrucciones — Cómo rellenar esto</w:t>
      </w:r>
    </w:p>
    <w:p>
      <w:pPr>
        <w:pStyle w:val="BlockText"/>
      </w:pPr>
      <w:r>
        <w:t xml:space="preserve">Si tu comunidad usa unidades internas (XP, ECO, créditos, etc.), define para cada unidad su propósito, emisión, transferibilidad, decaimiento, tope, prevención de fraude y privacidad. Indica explícitamente que las unidades no otorgan derechos de gobernanza más allá del estado de membresía.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Propiedad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Propósito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&lt;…&gt;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&lt;…&gt;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Emisión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&lt;…&gt;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&lt;…&gt;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Transferibilidad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&lt;…&gt;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&lt;…&gt;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Expiración / decaimiento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&lt;…&gt;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&lt;…&gt;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Tope máximo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&lt;…&gt;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&lt;…&gt;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Prevención de fraude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&lt;…&gt;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&lt;…&gt;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Privacidad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&lt;…&gt;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&lt;…&gt;</w:t>
            </w:r>
          </w:p>
        </w:tc>
      </w:tr>
    </w:tbl>
    <w:p>
      <w:pPr>
        <w:pStyle w:val="BlockText"/>
      </w:pPr>
      <w:r>
        <w:t xml:space="preserve">Las unidades internas no otorgan derechos de gobernanza más allá de lo que define el estado de membresía.</w:t>
      </w:r>
    </w:p>
    <w:bookmarkEnd w:id="22"/>
    <w:bookmarkStart w:id="23" w:name="restricciones-de-acumulación"/>
    <w:p>
      <w:pPr>
        <w:pStyle w:val="Heading2"/>
      </w:pPr>
      <w:r>
        <w:t xml:space="preserve">Restricciones de Acumulación</w:t>
      </w:r>
    </w:p>
    <w:p>
      <w:pPr>
        <w:pStyle w:val="FirstParagraph"/>
      </w:pPr>
      <w:r>
        <w:rPr>
          <w:i/>
          <w:iCs/>
        </w:rPr>
        <w:t xml:space="preserve">Cláusulas RCOS:</w:t>
      </w:r>
      <w:r>
        <w:rPr>
          <w:i/>
          <w:iCs/>
        </w:rPr>
        <w:t xml:space="preserve"> </w:t>
      </w:r>
      <w:hyperlink r:id="rId16">
        <w:r>
          <w:rPr>
            <w:rStyle w:val="Hyperlink"/>
            <w:i/>
            <w:iCs/>
          </w:rPr>
          <w:t xml:space="preserve">5.4.1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6">
        <w:r>
          <w:rPr>
            <w:rStyle w:val="Hyperlink"/>
            <w:i/>
            <w:iCs/>
          </w:rPr>
          <w:t xml:space="preserve">5.4.2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6">
        <w:r>
          <w:rPr>
            <w:rStyle w:val="Hyperlink"/>
            <w:i/>
            <w:iCs/>
          </w:rPr>
          <w:t xml:space="preserve">5.4.3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6">
        <w:r>
          <w:rPr>
            <w:rStyle w:val="Hyperlink"/>
            <w:i/>
            <w:iCs/>
          </w:rPr>
          <w:t xml:space="preserve">5.4.4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8">
        <w:r>
          <w:rPr>
            <w:rStyle w:val="Hyperlink"/>
            <w:i/>
            <w:iCs/>
          </w:rPr>
          <w:t xml:space="preserve">5.6.4</w:t>
        </w:r>
      </w:hyperlink>
    </w:p>
    <w:p>
      <w:pPr>
        <w:pStyle w:val="BlockText"/>
      </w:pPr>
      <w:r>
        <w:rPr>
          <w:b/>
          <w:bCs/>
        </w:rPr>
        <w:t xml:space="preserve">Justificación — ¿Por qué restringir la acumulación</w:t>
      </w:r>
    </w:p>
    <w:p>
      <w:pPr>
        <w:pStyle w:val="BlockText"/>
      </w:pPr>
      <w:r>
        <w:t xml:space="preserve">Cualquier unidad interna que pueda acumularse sin límite eventualmente se convierte en apalancamiento — unos pocos miembros con saldos grandes obtienen influencia informal que el sistema de gobernanza nunca les otorgó. Establecer las reglas de acumulación explícitamente, incluso cuando la regla actual es</w:t>
      </w:r>
      <w:r>
        <w:t xml:space="preserve"> </w:t>
      </w:r>
      <w:r>
        <w:t xml:space="preserve">“ninguna todavía”</w:t>
      </w:r>
      <w:r>
        <w:t xml:space="preserve">, mantiene la cuestión abierta y obliga a tomar una decisión visible antes de que la concentración se convierta en un problema estructural.</w:t>
      </w:r>
    </w:p>
    <w:p>
      <w:pPr>
        <w:pStyle w:val="BlockText"/>
      </w:pPr>
      <w:r>
        <w:rPr>
          <w:b/>
          <w:bCs/>
        </w:rPr>
        <w:t xml:space="preserve">Instrucciones — Cómo rellenar esto</w:t>
      </w:r>
    </w:p>
    <w:p>
      <w:pPr>
        <w:pStyle w:val="BlockText"/>
      </w:pPr>
      <w:r>
        <w:t xml:space="preserve">Indica la regla de acumulación actual (tope, decaimiento, ninguna) y la regla de que ninguna unidad interna PUEDE convertirse en autoridad de gobernanza.</w:t>
      </w:r>
    </w:p>
    <w:p>
      <w:pPr>
        <w:pStyle w:val="Compact"/>
        <w:numPr>
          <w:ilvl w:val="0"/>
          <w:numId w:val="1004"/>
        </w:numPr>
      </w:pPr>
      <w:r>
        <w:rPr>
          <w:i/>
          <w:iCs/>
        </w:rPr>
        <w:t xml:space="preserve">&lt;Tope máximo de unidades internas, si lo hay.&gt;</w:t>
      </w:r>
    </w:p>
    <w:p>
      <w:pPr>
        <w:pStyle w:val="Compact"/>
        <w:numPr>
          <w:ilvl w:val="0"/>
          <w:numId w:val="1004"/>
        </w:numPr>
      </w:pPr>
      <w:r>
        <w:rPr>
          <w:i/>
          <w:iCs/>
        </w:rPr>
        <w:t xml:space="preserve">&lt;Regla de decaimiento, si la hay.&gt;</w:t>
      </w:r>
    </w:p>
    <w:p>
      <w:pPr>
        <w:pStyle w:val="Compact"/>
        <w:numPr>
          <w:ilvl w:val="0"/>
          <w:numId w:val="1004"/>
        </w:numPr>
      </w:pPr>
    </w:p>
    <w:bookmarkEnd w:id="23"/>
    <w:bookmarkStart w:id="25" w:name="interfaces-de-ingresos-externos"/>
    <w:p>
      <w:pPr>
        <w:pStyle w:val="Heading2"/>
      </w:pPr>
      <w:r>
        <w:t xml:space="preserve">Interfaces de Ingresos Externos</w:t>
      </w:r>
    </w:p>
    <w:p>
      <w:pPr>
        <w:pStyle w:val="FirstParagraph"/>
      </w:pPr>
      <w:r>
        <w:rPr>
          <w:i/>
          <w:iCs/>
        </w:rPr>
        <w:t xml:space="preserve">Cláusulas RCOS:</w:t>
      </w:r>
      <w:r>
        <w:rPr>
          <w:i/>
          <w:iCs/>
        </w:rPr>
        <w:t xml:space="preserve"> </w:t>
      </w:r>
      <w:hyperlink r:id="rId24">
        <w:r>
          <w:rPr>
            <w:rStyle w:val="Hyperlink"/>
            <w:i/>
            <w:iCs/>
          </w:rPr>
          <w:t xml:space="preserve">5.3.2</w:t>
        </w:r>
      </w:hyperlink>
    </w:p>
    <w:p>
      <w:pPr>
        <w:pStyle w:val="BlockText"/>
      </w:pPr>
      <w:r>
        <w:rPr>
          <w:b/>
          <w:bCs/>
        </w:rPr>
        <w:t xml:space="preserve">Justificación — ¿Por qué requerir aprobación antes de que llegue el dinero</w:t>
      </w:r>
    </w:p>
    <w:p>
      <w:pPr>
        <w:pStyle w:val="BlockText"/>
      </w:pPr>
      <w:r>
        <w:t xml:space="preserve">Una vez que los fondos están en mano, la conversación pasa de</w:t>
      </w:r>
      <w:r>
        <w:t xml:space="preserve"> </w:t>
      </w:r>
      <w:r>
        <w:t xml:space="preserve">“¿deberíamos aceptar esto?”</w:t>
      </w:r>
      <w:r>
        <w:t xml:space="preserve"> </w:t>
      </w:r>
      <w:r>
        <w:t xml:space="preserve">a</w:t>
      </w:r>
      <w:r>
        <w:t xml:space="preserve"> </w:t>
      </w:r>
      <w:r>
        <w:t xml:space="preserve">“¿qué hacemos con esto?”</w:t>
      </w:r>
      <w:r>
        <w:t xml:space="preserve"> </w:t>
      </w:r>
      <w:r>
        <w:t xml:space="preserve">— y las condiciones vinculadas a los ingresos (términos de subvención, obligaciones de asociación, compromisos de servicio) a menudo ya están fijadas. Requerir una decisión Estratégica antes de abrir cualquier nuevo canal de ingresos mantiene a la comunidad en control de lo que asume.</w:t>
      </w:r>
    </w:p>
    <w:p>
      <w:pPr>
        <w:pStyle w:val="BlockText"/>
      </w:pPr>
      <w:r>
        <w:rPr>
          <w:b/>
          <w:bCs/>
        </w:rPr>
        <w:t xml:space="preserve">Instrucciones — Cómo rellenar esto</w:t>
      </w:r>
    </w:p>
    <w:p>
      <w:pPr>
        <w:pStyle w:val="BlockText"/>
      </w:pPr>
      <w:r>
        <w:t xml:space="preserve">Enumera los canales de ingresos actuales declarados, nombra posibles canales futuros y requiere aprobación Estratégica antes de abrir cualquier nuevo canal.</w:t>
      </w:r>
    </w:p>
    <w:p>
      <w:pPr>
        <w:pStyle w:val="Compact"/>
        <w:numPr>
          <w:ilvl w:val="0"/>
          <w:numId w:val="1005"/>
        </w:numPr>
      </w:pPr>
    </w:p>
    <w:p>
      <w:pPr>
        <w:pStyle w:val="Compact"/>
        <w:numPr>
          <w:ilvl w:val="0"/>
          <w:numId w:val="1005"/>
        </w:numPr>
      </w:pPr>
    </w:p>
    <w:p>
      <w:pPr>
        <w:pStyle w:val="Compact"/>
        <w:numPr>
          <w:ilvl w:val="0"/>
          <w:numId w:val="1005"/>
        </w:numPr>
      </w:pPr>
      <w:r>
        <w:rPr>
          <w:i/>
          <w:iCs/>
        </w:rPr>
        <w:t xml:space="preserve">&lt;Regla: cualquier nueva interfaz de ingresos externos DEBE ser declarada y aprobada mediante una decisión Estratégica antes de que se reciban fondos o se asuman compromisos.&gt;</w:t>
      </w:r>
    </w:p>
    <w:bookmarkEnd w:id="25"/>
    <w:bookmarkStart w:id="26" w:name="Xd1ba1a9b330aa899604e8e41a273e462ae0bc7d"/>
    <w:p>
      <w:pPr>
        <w:pStyle w:val="Heading2"/>
      </w:pPr>
      <w:r>
        <w:t xml:space="preserve">Resolución de Disputas para Registros Económicos</w:t>
      </w:r>
    </w:p>
    <w:p>
      <w:pPr>
        <w:pStyle w:val="BlockText"/>
      </w:pPr>
      <w:r>
        <w:rPr>
          <w:b/>
          <w:bCs/>
        </w:rPr>
        <w:t xml:space="preserve">Justificación — ¿Por qué acotar las disputas económicas en el tiempo</w:t>
      </w:r>
    </w:p>
    <w:p>
      <w:pPr>
        <w:pStyle w:val="BlockText"/>
      </w:pPr>
      <w:r>
        <w:t xml:space="preserve">Los registros de contribuciones y saldos se acumulan rápido; si las disputas pudieran plantearse indefinidamente, el libro mayor nunca se estabilizaría y cada crédito histórico quedaría eternamente impugnable. Un plazo definido con un resolutor designado y una vía de apelación da a los miembros una oportunidad real de corregir errores sin dejar toda la historia económica perpetuamente inestable.</w:t>
      </w:r>
    </w:p>
    <w:p>
      <w:pPr>
        <w:pStyle w:val="BlockText"/>
      </w:pPr>
      <w:r>
        <w:rPr>
          <w:b/>
          <w:bCs/>
        </w:rPr>
        <w:t xml:space="preserve">Instrucciones — Cómo rellenar esto</w:t>
      </w:r>
    </w:p>
    <w:p>
      <w:pPr>
        <w:pStyle w:val="BlockText"/>
      </w:pPr>
      <w:r>
        <w:t xml:space="preserve">Indica el plazo de impugnación, el resolutor designado y la vía de apelación. Consulta el Mecanismo de Reconocimiento de Contribuciones para el proceso completo.</w:t>
      </w:r>
    </w:p>
    <w:p>
      <w:pPr>
        <w:pStyle w:val="FirstParagraph"/>
      </w:pPr>
      <w:r>
        <w:rPr>
          <w:i/>
          <w:iCs/>
        </w:rPr>
        <w:t xml:space="preserve">&lt;Plazo para impugnar un registro de contribución o saldo; resolutor designado; vía de apelación a los Miembros Plenos mediante el proceso de gobernanza.&gt;</w:t>
      </w:r>
    </w:p>
    <w:p>
      <w:r>
        <w:pict>
          <v:rect style="width:0;height:1.5pt" o:hralign="center" o:hrstd="t" o:hr="t"/>
        </w:pict>
      </w:r>
    </w:p>
    <w:bookmarkEnd w:id="26"/>
    <w:bookmarkStart w:id="27" w:name="registro-de-ratificación"/>
    <w:p>
      <w:pPr>
        <w:pStyle w:val="Heading2"/>
      </w:pPr>
      <w:r>
        <w:t xml:space="preserve">Registro de Ratificación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Adoptado:</w:t>
      </w:r>
      <w:r>
        <w:t xml:space="preserve"> 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Tipo de decisión:</w:t>
      </w:r>
      <w:r>
        <w:t xml:space="preserve"> </w:t>
      </w:r>
      <w:r>
        <w:t xml:space="preserve">Estratégica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Versión:</w:t>
      </w:r>
      <w:r>
        <w:t xml:space="preserve"> </w:t>
      </w:r>
      <w:r>
        <w:t xml:space="preserve">&lt;versión&gt;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Registro de decisión:</w:t>
      </w:r>
      <w:r>
        <w:t xml:space="preserve"> </w:t>
      </w:r>
      <w:r>
        <w:t xml:space="preserve">&lt;enlace al registro de decisión&gt;</w:t>
      </w:r>
    </w:p>
    <w:bookmarkEnd w:id="27"/>
    <w:bookmarkEnd w:id="2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hyperlink" Id="rId14" Target="https://blueprint.ecohubs.community/es/articles/rcos-core/v0-1/layer-3-economic-resource-system#51-commons-vs-private-resources" TargetMode="External" /><Relationship Type="http://schemas.openxmlformats.org/officeDocument/2006/relationships/hyperlink" Id="rId15" Target="https://blueprint.ecohubs.community/es/articles/rcos-core/v0-1/layer-3-economic-resource-system#52-contribution-recognition" TargetMode="External" /><Relationship Type="http://schemas.openxmlformats.org/officeDocument/2006/relationships/hyperlink" Id="rId24" Target="https://blueprint.ecohubs.community/es/articles/rcos-core/v0-1/layer-3-economic-resource-system#53-treasury-management" TargetMode="External" /><Relationship Type="http://schemas.openxmlformats.org/officeDocument/2006/relationships/hyperlink" Id="rId16" Target="https://blueprint.ecohubs.community/es/articles/rcos-core/v0-1/layer-3-economic-resource-system#54-accumulation-constraints" TargetMode="External" /><Relationship Type="http://schemas.openxmlformats.org/officeDocument/2006/relationships/hyperlink" Id="rId17" Target="https://blueprint.ecohubs.community/es/articles/rcos-core/v0-1/layer-3-economic-resource-system#55-artifacts" TargetMode="External" /><Relationship Type="http://schemas.openxmlformats.org/officeDocument/2006/relationships/hyperlink" Id="rId18" Target="https://blueprint.ecohubs.community/es/articles/rcos-core/v0-1/layer-3-economic-resource-system#56-layer-invariants" TargetMode="External" /><Relationship Type="http://schemas.openxmlformats.org/officeDocument/2006/relationships/hyperlink" Id="rId13" Target="https://blueprint.ecohubs.community/es/articles/rcos-templates" TargetMode="External" /><Relationship Type="http://schemas.openxmlformats.org/officeDocument/2006/relationships/hyperlink" Id="rId12" Target="https://blueprint.ecohubs.community/es/articles/rcos-templates/layer-3/internal-economy-protoco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4" Target="https://blueprint.ecohubs.community/es/articles/rcos-core/v0-1/layer-3-economic-resource-system#51-commons-vs-private-resources" TargetMode="External" /><Relationship Type="http://schemas.openxmlformats.org/officeDocument/2006/relationships/hyperlink" Id="rId15" Target="https://blueprint.ecohubs.community/es/articles/rcos-core/v0-1/layer-3-economic-resource-system#52-contribution-recognition" TargetMode="External" /><Relationship Type="http://schemas.openxmlformats.org/officeDocument/2006/relationships/hyperlink" Id="rId24" Target="https://blueprint.ecohubs.community/es/articles/rcos-core/v0-1/layer-3-economic-resource-system#53-treasury-management" TargetMode="External" /><Relationship Type="http://schemas.openxmlformats.org/officeDocument/2006/relationships/hyperlink" Id="rId16" Target="https://blueprint.ecohubs.community/es/articles/rcos-core/v0-1/layer-3-economic-resource-system#54-accumulation-constraints" TargetMode="External" /><Relationship Type="http://schemas.openxmlformats.org/officeDocument/2006/relationships/hyperlink" Id="rId17" Target="https://blueprint.ecohubs.community/es/articles/rcos-core/v0-1/layer-3-economic-resource-system#55-artifacts" TargetMode="External" /><Relationship Type="http://schemas.openxmlformats.org/officeDocument/2006/relationships/hyperlink" Id="rId18" Target="https://blueprint.ecohubs.community/es/articles/rcos-core/v0-1/layer-3-economic-resource-system#56-layer-invariants" TargetMode="External" /><Relationship Type="http://schemas.openxmlformats.org/officeDocument/2006/relationships/hyperlink" Id="rId13" Target="https://blueprint.ecohubs.community/es/articles/rcos-templates" TargetMode="External" /><Relationship Type="http://schemas.openxmlformats.org/officeDocument/2006/relationships/hyperlink" Id="rId12" Target="https://blueprint.ecohubs.community/es/articles/rcos-templates/layer-3/internal-economy-protoco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2026-04-29T01:58:23Z</dcterms:created>
  <dcterms:modified xsi:type="dcterms:W3CDTF">2026-04-29T01:58:23Z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-meta">
    <vt:lpwstr>Protocolo de Economía Interna</vt:lpwstr>
  </property>
</Properties>
</file>