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Sistema Operativo de Comunidad Regenerativa</w:t>
      </w:r>
    </w:p>
    <w:bookmarkStart w:id="24" w:name="protocolo-de-incorporación"/>
    <w:p>
      <w:pPr>
        <w:pStyle w:val="Heading1"/>
      </w:pPr>
      <w:r>
        <w:t xml:space="preserve">Protocolo de Incorporación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Generado: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Fuente (versión más reciente):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https://blueprint.ecohubs.community/es/articles/rcos-templates/layer-1/onboarding-protocol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Todas las plantillas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https://blueprint.ecohubs.community/es/articles/rcos-templates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Capa:</w:t>
      </w:r>
      <w:r>
        <w:t xml:space="preserve"> </w:t>
      </w:r>
      <w:r>
        <w:t xml:space="preserve">1 — Sistema de Membresía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Plantilla — adaptar para tu comunidad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Referencia RCOS:</w:t>
      </w:r>
      <w:r>
        <w:t xml:space="preserve"> </w:t>
      </w:r>
      <w:hyperlink r:id="rId14">
        <w:r>
          <w:rPr>
            <w:rStyle w:val="Hyperlink"/>
          </w:rPr>
          <w:t xml:space="preserve">§3.2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§3.3</w:t>
        </w:r>
      </w:hyperlink>
      <w:r>
        <w:t xml:space="preserve">,</w:t>
      </w:r>
      <w:r>
        <w:t xml:space="preserve"> </w:t>
      </w:r>
      <w:hyperlink r:id="rId16">
        <w:r>
          <w:rPr>
            <w:rStyle w:val="Hyperlink"/>
          </w:rPr>
          <w:t xml:space="preserve">§3.8</w:t>
        </w:r>
      </w:hyperlink>
    </w:p>
    <w:p>
      <w:r>
        <w:pict>
          <v:rect style="width:0;height:1.5pt" o:hralign="center" o:hrstd="t" o:hr="t"/>
        </w:pict>
      </w:r>
    </w:p>
    <w:bookmarkStart w:id="17" w:name="criterios-de-admisión"/>
    <w:p>
      <w:pPr>
        <w:pStyle w:val="Heading2"/>
      </w:pPr>
      <w:r>
        <w:t xml:space="preserve">Criterios de Admisión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3.2.3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3.2.4</w:t>
        </w:r>
      </w:hyperlink>
    </w:p>
    <w:p>
      <w:pPr>
        <w:pStyle w:val="BlockText"/>
      </w:pPr>
      <w:r>
        <w:rPr>
          <w:b/>
          <w:bCs/>
        </w:rPr>
        <w:t xml:space="preserve">Justificación — ¿Por qué documentar quién puede entrar</w:t>
      </w:r>
    </w:p>
    <w:p>
      <w:pPr>
        <w:pStyle w:val="BlockText"/>
      </w:pPr>
      <w:r>
        <w:t xml:space="preserve">La admisión es el momento en que una persona desconocida queda vinculada por — y protegida por — las reglas de la comunidad. Si los criterios son informales, la decisión se reduce a quién le cae bien al solicitante en ese momento. Los criterios escritos hacen de la admisión un acto de gobernanza, no un favor social, y hacen que un rechazo sea defendible con fundamentos que la comunidad puede señalar.</w:t>
      </w:r>
    </w:p>
    <w:p>
      <w:pPr>
        <w:pStyle w:val="BlockText"/>
      </w:pPr>
      <w:r>
        <w:rPr>
          <w:b/>
          <w:bCs/>
        </w:rPr>
        <w:t xml:space="preserve">Instrucciones — Cómo completar esta sección</w:t>
      </w:r>
    </w:p>
    <w:p>
      <w:pPr>
        <w:pStyle w:val="BlockText"/>
      </w:pPr>
      <w:r>
        <w:t xml:space="preserve">Indica las condiciones explícitas bajo las cuales un solicitante puede ser admitido. Cada criterio debería ser verificable a partir de la propia solicitud o mediante una comprobación externa.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&lt;Criterio 1, p. ej. alineación con el propósito principal y las restricciones de identidad de la Capa 0.&gt;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&lt;Criterio 2, p. ej. disposición a contribuir activamente en al menos una categoría reconocida.&gt;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&lt;Criterio 3, p. ej. sin expulsión forzosa ni rechazo previo en los últimos X meses.&gt;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&lt;Criterio 4, p. ej. formulario de solicitud completado de buena fe — sin tergiversación.&gt;</w:t>
      </w:r>
    </w:p>
    <w:bookmarkEnd w:id="17"/>
    <w:bookmarkStart w:id="18" w:name="pasos-de-incorporación"/>
    <w:p>
      <w:pPr>
        <w:pStyle w:val="Heading2"/>
      </w:pPr>
      <w:r>
        <w:t xml:space="preserve">Pasos de Incorporación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3.2.2</w:t>
        </w:r>
      </w:hyperlink>
    </w:p>
    <w:p>
      <w:pPr>
        <w:pStyle w:val="BlockText"/>
      </w:pPr>
      <w:r>
        <w:rPr>
          <w:b/>
          <w:bCs/>
        </w:rPr>
        <w:t xml:space="preserve">Justificación — ¿Por qué hacer del proceso una secuencia fija</w:t>
      </w:r>
    </w:p>
    <w:p>
      <w:pPr>
        <w:pStyle w:val="BlockText"/>
      </w:pPr>
      <w:r>
        <w:t xml:space="preserve">El consentimiento a la gobernanza solo tiene sentido si el miembro realmente ha visto la gobernanza. Una secuencia fija — revisión, consentimiento, configuración técnica — garantiza que cada Miembro Pleno cruzó el mismo umbral en el mismo orden, de modo que nadie accede a derechos plenos sin haber conocido las restricciones que los acompañan.</w:t>
      </w:r>
    </w:p>
    <w:p>
      <w:pPr>
        <w:pStyle w:val="BlockText"/>
      </w:pPr>
      <w:r>
        <w:rPr>
          <w:b/>
          <w:bCs/>
        </w:rPr>
        <w:t xml:space="preserve">Instrucciones — Cómo completar esta sección</w:t>
      </w:r>
    </w:p>
    <w:p>
      <w:pPr>
        <w:pStyle w:val="BlockText"/>
      </w:pPr>
      <w:r>
        <w:t xml:space="preserve">Enumera los pasos ordenados que cada nuevo miembro debe completar para pasar de solicitante a Miembro Pleno. Incluye pasos explícitos de consentimiento y cualquier aprovisionamiento de herramientas o acceso requerido.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&lt;Paso 1, p. ej. revisar todos los artefactos de las Capas 0–6 y este protocolo de incorporación.&gt;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&lt;Paso 2, p. ej. consentir explícitamente el Acuerdo de Membresía y las restricciones de identidad de la Capa 0.&gt;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&lt;Paso 3, p. ej. configurar las herramientas requeridas (billetera, cuentas, identidad).&gt;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&lt;Paso 4, p. ej. unirse a los canales de comunicación exclusivos para miembros.&gt;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&lt;Paso 5, p. ej. recibir los permisos necesarios para participar en la gobernanza.&gt;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&lt;Paso 6, p. ej. finalización de la incorporación registrada — el estado de membresía cambia a Miembro Pleno.&gt;</w:t>
      </w:r>
    </w:p>
    <w:bookmarkEnd w:id="18"/>
    <w:bookmarkStart w:id="20" w:name="estado-inicial-de-membresía"/>
    <w:p>
      <w:pPr>
        <w:pStyle w:val="Heading2"/>
      </w:pPr>
      <w:r>
        <w:t xml:space="preserve">Estado Inicial de Membresía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9">
        <w:r>
          <w:rPr>
            <w:rStyle w:val="Hyperlink"/>
            <w:i/>
            <w:iCs/>
          </w:rPr>
          <w:t xml:space="preserve">3.1.2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9">
        <w:r>
          <w:rPr>
            <w:rStyle w:val="Hyperlink"/>
            <w:i/>
            <w:iCs/>
          </w:rPr>
          <w:t xml:space="preserve">3.1.4</w:t>
        </w:r>
      </w:hyperlink>
    </w:p>
    <w:p>
      <w:pPr>
        <w:pStyle w:val="BlockText"/>
      </w:pPr>
      <w:r>
        <w:rPr>
          <w:b/>
          <w:bCs/>
        </w:rPr>
        <w:t xml:space="preserve">Justificación — ¿Por qué asignar un estado al final de la incorporación</w:t>
      </w:r>
    </w:p>
    <w:p>
      <w:pPr>
        <w:pStyle w:val="BlockText"/>
      </w:pPr>
      <w:r>
        <w:t xml:space="preserve">Entre</w:t>
      </w:r>
      <w:r>
        <w:t xml:space="preserve"> </w:t>
      </w:r>
      <w:r>
        <w:t xml:space="preserve">“solicitante aprobado”</w:t>
      </w:r>
      <w:r>
        <w:t xml:space="preserve"> </w:t>
      </w:r>
      <w:r>
        <w:t xml:space="preserve">y</w:t>
      </w:r>
      <w:r>
        <w:t xml:space="preserve"> </w:t>
      </w:r>
      <w:r>
        <w:t xml:space="preserve">“totalmente integrado”</w:t>
      </w:r>
      <w:r>
        <w:t xml:space="preserve"> </w:t>
      </w:r>
      <w:r>
        <w:t xml:space="preserve">hay una brecha real — los permisos, el acceso y las expectativas cambian. Declarar el estado exacto que un nuevo miembro tiene en cada paso elimina la ambigüedad sobre lo que puede hacer en ese momento, y evita concesiones involuntarias de derechos antes de que la incorporación esté completa.</w:t>
      </w:r>
    </w:p>
    <w:p>
      <w:pPr>
        <w:pStyle w:val="BlockText"/>
      </w:pPr>
      <w:r>
        <w:rPr>
          <w:b/>
          <w:bCs/>
        </w:rPr>
        <w:t xml:space="preserve">Instrucciones — Cómo completar esta sección</w:t>
      </w:r>
    </w:p>
    <w:p>
      <w:pPr>
        <w:pStyle w:val="BlockText"/>
      </w:pPr>
      <w:r>
        <w:t xml:space="preserve">Indica los estados de membresía por los que transita un miembro durante la incorporación, y qué desencadena cada transición. Consulta el Registro de Estados de Membresía.</w:t>
      </w:r>
    </w:p>
    <w:p>
      <w:pPr>
        <w:pStyle w:val="Compact"/>
        <w:numPr>
          <w:ilvl w:val="0"/>
          <w:numId w:val="1005"/>
        </w:numPr>
      </w:pPr>
      <w:r>
        <w:t xml:space="preserve">Al ser aprobado:</w:t>
      </w:r>
      <w:r>
        <w:t xml:space="preserve"> </w:t>
      </w:r>
      <w:r>
        <w:rPr>
          <w:i/>
          <w:iCs/>
        </w:rPr>
        <w:t xml:space="preserve">&lt;p. ej. Miembro en Prueba.&gt;</w:t>
      </w:r>
    </w:p>
    <w:p>
      <w:pPr>
        <w:pStyle w:val="Compact"/>
        <w:numPr>
          <w:ilvl w:val="0"/>
          <w:numId w:val="1005"/>
        </w:numPr>
      </w:pPr>
      <w:r>
        <w:t xml:space="preserve">Al completar la incorporación:</w:t>
      </w:r>
      <w:r>
        <w:t xml:space="preserve"> </w:t>
      </w:r>
      <w:r>
        <w:rPr>
          <w:i/>
          <w:iCs/>
        </w:rPr>
        <w:t xml:space="preserve">&lt;p. ej. Miembro Pleno (automático al completar).&gt;</w:t>
      </w:r>
    </w:p>
    <w:bookmarkEnd w:id="20"/>
    <w:bookmarkStart w:id="21" w:name="prueba-y-evaluación"/>
    <w:p>
      <w:pPr>
        <w:pStyle w:val="Heading2"/>
      </w:pPr>
      <w:r>
        <w:t xml:space="preserve">Prueba y Evaluación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3.3.1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3.3.2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3.3.3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3.3.4</w:t>
        </w:r>
      </w:hyperlink>
    </w:p>
    <w:p>
      <w:pPr>
        <w:pStyle w:val="BlockText"/>
      </w:pPr>
      <w:r>
        <w:rPr>
          <w:b/>
          <w:bCs/>
        </w:rPr>
        <w:t xml:space="preserve">Justificación — ¿Por qué delimitar el periodo de prueba</w:t>
      </w:r>
    </w:p>
    <w:p>
      <w:pPr>
        <w:pStyle w:val="BlockText"/>
      </w:pPr>
      <w:r>
        <w:t xml:space="preserve">Un periodo de prueba sin límite es una membresía de segunda clase que nunca termina — todas las obligaciones, menos derechos. Fijar la duración, los criterios y el camino en caso de fallo obliga a un punto de decisión: o el nuevo miembro pasa a pleno derecho o se ejecuta una salida definida. Esto evita que el estado de prueba se convierta en un limbo permanente.</w:t>
      </w:r>
    </w:p>
    <w:p>
      <w:pPr>
        <w:pStyle w:val="BlockText"/>
      </w:pPr>
      <w:r>
        <w:rPr>
          <w:b/>
          <w:bCs/>
        </w:rPr>
        <w:t xml:space="preserve">Instrucciones — Cómo completar esta sección</w:t>
      </w:r>
    </w:p>
    <w:p>
      <w:pPr>
        <w:pStyle w:val="BlockText"/>
      </w:pPr>
      <w:r>
        <w:t xml:space="preserve">Define la duración, los criterios de evaluación, la decisión de transición, el periodo de gracia, el camino en caso de fallo y cualquier regla de extensión. Los derechos durante la prueba se definen en el Registro de Estados de Membresía.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Duración:</w:t>
      </w:r>
      <w:r>
        <w:t xml:space="preserve"> </w:t>
      </w:r>
      <w:r>
        <w:rPr>
          <w:i/>
          <w:iCs/>
        </w:rPr>
        <w:t xml:space="preserve">&lt;p. ej. 30 días desde la aprobación.&gt;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Criterios de evaluación:</w:t>
      </w:r>
      <w:r>
        <w:t xml:space="preserve"> </w:t>
      </w:r>
      <w:r>
        <w:rPr>
          <w:i/>
          <w:iCs/>
        </w:rPr>
        <w:t xml:space="preserve">&lt;p. ej. todos los pasos de incorporación completados y registrados.&gt;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Decisión de transición:</w:t>
      </w:r>
      <w:r>
        <w:t xml:space="preserve"> </w:t>
      </w:r>
      <w:r>
        <w:rPr>
          <w:i/>
          <w:iCs/>
        </w:rPr>
        <w:t xml:space="preserve">&lt;p. ej. automática al completar; o por votación.&gt;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Periodo de gracia:</w:t>
      </w:r>
      <w:r>
        <w:t xml:space="preserve"> </w:t>
      </w:r>
      <w:r>
        <w:rPr>
          <w:i/>
          <w:iCs/>
        </w:rPr>
        <w:t xml:space="preserve">&lt;p. ej. X días adicionales si la incorporación no se completa a tiempo.&gt;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Fallo en completar:</w:t>
      </w:r>
      <w:r>
        <w:t xml:space="preserve"> </w:t>
      </w:r>
      <w:r>
        <w:rPr>
          <w:i/>
          <w:iCs/>
        </w:rPr>
        <w:t xml:space="preserve">&lt;p. ej. proceso de salida activado automáticamente tras agotarse el periodo total.&gt;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Extensión:</w:t>
      </w:r>
      <w:r>
        <w:t xml:space="preserve"> </w:t>
      </w:r>
      <w:r>
        <w:rPr>
          <w:i/>
          <w:iCs/>
        </w:rPr>
        <w:t xml:space="preserve">&lt;p. ej. extensión única de X días bajo solicitud.&gt;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Derechos durante la prueba:</w:t>
      </w:r>
      <w:r>
        <w:t xml:space="preserve"> </w:t>
      </w:r>
      <w:r>
        <w:rPr>
          <w:i/>
          <w:iCs/>
        </w:rPr>
        <w:t xml:space="preserve">&lt;consultar el Registro de Estados de Membresía.&gt;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Bloqueo de nueva solicitud:</w:t>
      </w:r>
      <w:r>
        <w:t xml:space="preserve"> </w:t>
      </w:r>
      <w:r>
        <w:rPr>
          <w:i/>
          <w:iCs/>
        </w:rPr>
        <w:t xml:space="preserve">&lt;p. ej. los miembros que salieron por incorporación incompleta no pueden volver a solicitar durante X meses.&gt;</w:t>
      </w:r>
    </w:p>
    <w:bookmarkEnd w:id="21"/>
    <w:bookmarkStart w:id="22" w:name="registro-de-finalización"/>
    <w:p>
      <w:pPr>
        <w:pStyle w:val="Heading2"/>
      </w:pPr>
      <w:r>
        <w:t xml:space="preserve">Registro de Finalización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3.8.2</w:t>
        </w:r>
      </w:hyperlink>
    </w:p>
    <w:p>
      <w:pPr>
        <w:pStyle w:val="BlockText"/>
      </w:pPr>
      <w:r>
        <w:rPr>
          <w:b/>
          <w:bCs/>
        </w:rPr>
        <w:t xml:space="preserve">Justificación — ¿Por qué mantener el registro de forma permanente</w:t>
      </w:r>
    </w:p>
    <w:p>
      <w:pPr>
        <w:pStyle w:val="BlockText"/>
      </w:pPr>
      <w:r>
        <w:t xml:space="preserve">El registro de finalización es la evidencia de que un miembro consintió a una versión específica de las reglas en una fecha específica. Perderlo o editarlo haría imposible responder, meses o años después,</w:t>
      </w:r>
      <w:r>
        <w:t xml:space="preserve"> </w:t>
      </w:r>
      <w:r>
        <w:t xml:space="preserve">“¿a qué exactamente accedió?”</w:t>
      </w:r>
      <w:r>
        <w:t xml:space="preserve"> </w:t>
      </w:r>
      <w:r>
        <w:t xml:space="preserve">— que es la única pregunta que importa cuando llega una disputa.</w:t>
      </w:r>
    </w:p>
    <w:p>
      <w:pPr>
        <w:pStyle w:val="BlockText"/>
      </w:pPr>
      <w:r>
        <w:rPr>
          <w:b/>
          <w:bCs/>
        </w:rPr>
        <w:t xml:space="preserve">Instrucciones — Cómo completar esta sección</w:t>
      </w:r>
    </w:p>
    <w:p>
      <w:pPr>
        <w:pStyle w:val="BlockText"/>
      </w:pPr>
      <w:r>
        <w:t xml:space="preserve">Indica dónde se guarda el registro de finalización, qué captura (marca de tiempo, versiones de artefactos consentidos) y la regla de retención.</w:t>
      </w:r>
    </w:p>
    <w:p>
      <w:pPr>
        <w:pStyle w:val="FirstParagraph"/>
      </w:pPr>
      <w:r>
        <w:rPr>
          <w:i/>
          <w:iCs/>
        </w:rPr>
        <w:t xml:space="preserve">&lt;Descripción del registro de finalización de la incorporación — dónde se almacena, qué captura y que se retiene permanentemente después de la salida.&gt;</w:t>
      </w:r>
    </w:p>
    <w:p>
      <w:r>
        <w:pict>
          <v:rect style="width:0;height:1.5pt" o:hralign="center" o:hrstd="t" o:hr="t"/>
        </w:pict>
      </w:r>
    </w:p>
    <w:bookmarkEnd w:id="22"/>
    <w:bookmarkStart w:id="23" w:name="registro-de-ratificación"/>
    <w:p>
      <w:pPr>
        <w:pStyle w:val="Heading2"/>
      </w:pPr>
      <w:r>
        <w:t xml:space="preserve">Registro de Ratificación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Adoptado:</w:t>
      </w:r>
      <w:r>
        <w:t xml:space="preserve"> 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t xml:space="preserve">Estratégica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Versión:</w:t>
      </w:r>
      <w:r>
        <w:t xml:space="preserve"> </w:t>
      </w:r>
      <w:r>
        <w:t xml:space="preserve">&lt;versión&gt;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Registro de decisión:</w:t>
      </w:r>
      <w:r>
        <w:t xml:space="preserve"> </w:t>
      </w:r>
      <w:r>
        <w:t xml:space="preserve">&lt;enlace al registro de decisión&gt;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9" Target="https://blueprint.ecohubs.community/es/articles/rcos-core/v0-1/layer-1-membership-system#31-membership-states" TargetMode="External" /><Relationship Type="http://schemas.openxmlformats.org/officeDocument/2006/relationships/hyperlink" Id="rId14" Target="https://blueprint.ecohubs.community/es/articles/rcos-core/v0-1/layer-1-membership-system#32-entry-and-onboarding" TargetMode="External" /><Relationship Type="http://schemas.openxmlformats.org/officeDocument/2006/relationships/hyperlink" Id="rId15" Target="https://blueprint.ecohubs.community/es/articles/rcos-core/v0-1/layer-1-membership-system#33-trial-and-evaluation" TargetMode="External" /><Relationship Type="http://schemas.openxmlformats.org/officeDocument/2006/relationships/hyperlink" Id="rId16" Target="https://blueprint.ecohubs.community/es/articles/rcos-core/v0-1/layer-1-membership-system#38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1/onboarding-protoco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9" Target="https://blueprint.ecohubs.community/es/articles/rcos-core/v0-1/layer-1-membership-system#31-membership-states" TargetMode="External" /><Relationship Type="http://schemas.openxmlformats.org/officeDocument/2006/relationships/hyperlink" Id="rId14" Target="https://blueprint.ecohubs.community/es/articles/rcos-core/v0-1/layer-1-membership-system#32-entry-and-onboarding" TargetMode="External" /><Relationship Type="http://schemas.openxmlformats.org/officeDocument/2006/relationships/hyperlink" Id="rId15" Target="https://blueprint.ecohubs.community/es/articles/rcos-core/v0-1/layer-1-membership-system#33-trial-and-evaluation" TargetMode="External" /><Relationship Type="http://schemas.openxmlformats.org/officeDocument/2006/relationships/hyperlink" Id="rId16" Target="https://blueprint.ecohubs.community/es/articles/rcos-core/v0-1/layer-1-membership-system#38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1/onboarding-protoco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2026-04-29T01:58:23Z</dcterms:created>
  <dcterms:modified xsi:type="dcterms:W3CDTF">2026-04-29T01:58:23Z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Protocolo de Incorporación</vt:lpwstr>
  </property>
</Properties>
</file>