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— Sistema Operativo de Comunidad Regenerativa</w:t>
      </w:r>
    </w:p>
    <w:bookmarkStart w:id="25" w:name="acuerdo-de-membresía"/>
    <w:p>
      <w:pPr>
        <w:pStyle w:val="Heading1"/>
      </w:pPr>
      <w:r>
        <w:t xml:space="preserve">Acuerdo de Membresía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Generado: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Fuente (versión más reciente):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https://blueprint.ecohubs.community/es/articles/rcos-templates/layer-1/membership-agreement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Todas las plantillas RCOS: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https://blueprint.ecohubs.community/es/articles/rcos-templates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Capa:</w:t>
      </w:r>
      <w:r>
        <w:t xml:space="preserve"> </w:t>
      </w:r>
      <w:r>
        <w:t xml:space="preserve">1 — Sistema de Membresía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Estado:</w:t>
      </w:r>
      <w:r>
        <w:t xml:space="preserve"> </w:t>
      </w:r>
      <w:r>
        <w:t xml:space="preserve">Plantilla — adaptar para tu comunidad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Referencia RCOS:</w:t>
      </w:r>
      <w:r>
        <w:t xml:space="preserve"> </w:t>
      </w:r>
      <w:hyperlink r:id="rId14">
        <w:r>
          <w:rPr>
            <w:rStyle w:val="Hyperlink"/>
          </w:rPr>
          <w:t xml:space="preserve">§3.4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§3.5</w:t>
        </w:r>
      </w:hyperlink>
      <w:r>
        <w:t xml:space="preserve">,</w:t>
      </w:r>
      <w:r>
        <w:t xml:space="preserve"> </w:t>
      </w:r>
      <w:hyperlink r:id="rId16">
        <w:r>
          <w:rPr>
            <w:rStyle w:val="Hyperlink"/>
          </w:rPr>
          <w:t xml:space="preserve">§3.8</w:t>
        </w:r>
      </w:hyperlink>
    </w:p>
    <w:p>
      <w:pPr>
        <w:pStyle w:val="BlockText"/>
      </w:pPr>
      <w:r>
        <w:t xml:space="preserve">Firmado (o reconocido explícitamente) por cada miembro en el momento de su admisión. Define los derechos y obligaciones de cada estado de membresía.</w:t>
      </w:r>
    </w:p>
    <w:p>
      <w:r>
        <w:pict>
          <v:rect style="width:0;height:1.5pt" o:hralign="center" o:hrstd="t" o:hr="t"/>
        </w:pict>
      </w:r>
    </w:p>
    <w:bookmarkStart w:id="18" w:name="estado-de-membresía-al-firmar"/>
    <w:p>
      <w:pPr>
        <w:pStyle w:val="Heading2"/>
      </w:pPr>
      <w:r>
        <w:t xml:space="preserve">Estado de Membresía al Firmar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7">
        <w:r>
          <w:rPr>
            <w:rStyle w:val="Hyperlink"/>
            <w:i/>
            <w:iCs/>
          </w:rPr>
          <w:t xml:space="preserve">3.1.2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7">
        <w:r>
          <w:rPr>
            <w:rStyle w:val="Hyperlink"/>
            <w:i/>
            <w:iCs/>
          </w:rPr>
          <w:t xml:space="preserve">3.1.4</w:t>
        </w:r>
      </w:hyperlink>
    </w:p>
    <w:p>
      <w:pPr>
        <w:pStyle w:val="BlockText"/>
      </w:pPr>
      <w:r>
        <w:rPr>
          <w:b/>
          <w:bCs/>
        </w:rPr>
        <w:t xml:space="preserve">Justificación — ¿Por qué declarar el estado al firmar</w:t>
      </w:r>
    </w:p>
    <w:p>
      <w:pPr>
        <w:pStyle w:val="BlockText"/>
      </w:pPr>
      <w:r>
        <w:t xml:space="preserve">La membresía no es un simple binario. Una persona que se incorpora debe saber exactamente en qué estado está entrando — Prueba o Pleno — porque el estado determina lo que puede hacer y lo que se espera de ella. Nombrarlo en el momento del consentimiento evita ambigüedades posteriores sobre lo que realmente aceptó.</w:t>
      </w:r>
    </w:p>
    <w:p>
      <w:pPr>
        <w:pStyle w:val="BlockText"/>
      </w:pPr>
      <w:r>
        <w:rPr>
          <w:b/>
          <w:bCs/>
        </w:rPr>
        <w:t xml:space="preserve">Instrucciones — Cómo completar esta sección</w:t>
      </w:r>
    </w:p>
    <w:p>
      <w:pPr>
        <w:pStyle w:val="BlockText"/>
      </w:pPr>
      <w:r>
        <w:t xml:space="preserve">Indica qué estado(s) de membresía recibe un nuevo miembro al firmar (p. ej., Miembro en Prueba, Miembro Pleno, o cualquier estado personalizado definido en tu Registro de Estados de Membresía).</w:t>
      </w:r>
    </w:p>
    <w:p>
      <w:pPr>
        <w:pStyle w:val="FirstParagraph"/>
      </w:pPr>
      <w:r>
        <w:rPr>
          <w:i/>
          <w:iCs/>
        </w:rPr>
        <w:t xml:space="preserve">&lt;Estado de membresía asignado al firmar — p. ej., Miembro en Prueba tras la aprobación de la solicitud; Miembro Pleno tras completar la incorporación.&gt;</w:t>
      </w:r>
    </w:p>
    <w:bookmarkEnd w:id="18"/>
    <w:bookmarkStart w:id="19" w:name="derechos-del-miembro"/>
    <w:p>
      <w:pPr>
        <w:pStyle w:val="Heading2"/>
      </w:pPr>
      <w:r>
        <w:t xml:space="preserve">Derechos del Miembro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3.4.1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3.4.3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3.4.4</w:t>
        </w:r>
      </w:hyperlink>
    </w:p>
    <w:p>
      <w:pPr>
        <w:pStyle w:val="BlockText"/>
      </w:pPr>
      <w:r>
        <w:rPr>
          <w:b/>
          <w:bCs/>
        </w:rPr>
        <w:t xml:space="preserve">Justificación — ¿Por qué enumerar los derechos explícitamente</w:t>
      </w:r>
    </w:p>
    <w:p>
      <w:pPr>
        <w:pStyle w:val="BlockText"/>
      </w:pPr>
      <w:r>
        <w:t xml:space="preserve">Los derechos que no están escritos son derechos que pueden retirarse en silencio. Enumerarlos hace que los compromisos de la comunidad sean legibles, exigibles y simétricos con las obligaciones que se pide a los miembros que asuman. Sin esta lista, las obligaciones se convierten en demandas abiertas sin protección recíproca.</w:t>
      </w:r>
    </w:p>
    <w:p>
      <w:pPr>
        <w:pStyle w:val="BlockText"/>
      </w:pPr>
      <w:r>
        <w:rPr>
          <w:b/>
          <w:bCs/>
        </w:rPr>
        <w:t xml:space="preserve">Instrucciones — Cómo completar esta sección</w:t>
      </w:r>
    </w:p>
    <w:p>
      <w:pPr>
        <w:pStyle w:val="BlockText"/>
      </w:pPr>
      <w:r>
        <w:t xml:space="preserve">Enumera los derechos concretos otorgados a cada estado de membresía. Consulta la Matriz de Decisiones (Capa 2) para los derechos de voto, el Registro de Roles (Capa 5) para la elegibilidad de roles, y la Capa 4 para las garantías de debido proceso.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&lt;Derecho 1, p. ej., el derecho a votar en todas las decisiones según lo definido en la Matriz de Decisiones.&gt;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&lt;Derecho 2, p. ej., el derecho a acceder a todos los canales, llamadas y registros exclusivos para miembros.&gt;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&lt;Derecho 3, p. ej., el derecho a ocupar roles según lo definido en el Registro de Roles.&gt;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&lt;Derecho 4, p. ej., el derecho a obtener reconocimiento a través de contribuciones reconocidas.&gt;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&lt;Derecho 5, p. ej., el derecho a proponer cambios a través del proceso de gobernanza.&gt;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&lt;Derecho 6, p. ej., el derecho a plantear un conflicto a través de la Escalera de Resolución de Conflictos sin represalias.&gt;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&lt;Derecho 7, p. ej., el derecho a salir de la comunidad voluntariamente en cualquier momento.&gt;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&lt;Derecho 8, p. ej., el derecho al debido proceso antes de cualquier salida forzada, suspensión o restricción de acceso.&gt;</w:t>
      </w:r>
    </w:p>
    <w:bookmarkEnd w:id="19"/>
    <w:bookmarkStart w:id="20" w:name="obligaciones-del-miembro"/>
    <w:p>
      <w:pPr>
        <w:pStyle w:val="Heading2"/>
      </w:pPr>
      <w:r>
        <w:t xml:space="preserve">Obligaciones del Miembro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3.4.2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3.4.4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3.4.5</w:t>
        </w:r>
      </w:hyperlink>
    </w:p>
    <w:p>
      <w:pPr>
        <w:pStyle w:val="BlockText"/>
      </w:pPr>
      <w:r>
        <w:rPr>
          <w:b/>
          <w:bCs/>
        </w:rPr>
        <w:t xml:space="preserve">Justificación — ¿Por qué acotar las obligaciones estrictamente</w:t>
      </w:r>
    </w:p>
    <w:p>
      <w:pPr>
        <w:pStyle w:val="BlockText"/>
      </w:pPr>
      <w:r>
        <w:t xml:space="preserve">Las obligaciones abiertas son la vía por la que las comunidades caen en la explotación —</w:t>
      </w:r>
      <w:r>
        <w:t xml:space="preserve"> </w:t>
      </w:r>
      <w:r>
        <w:t xml:space="preserve">“contribuye más”</w:t>
      </w:r>
      <w:r>
        <w:t xml:space="preserve">,</w:t>
      </w:r>
      <w:r>
        <w:t xml:space="preserve"> </w:t>
      </w:r>
      <w:r>
        <w:t xml:space="preserve">“estate disponible”</w:t>
      </w:r>
      <w:r>
        <w:t xml:space="preserve">,</w:t>
      </w:r>
      <w:r>
        <w:t xml:space="preserve"> </w:t>
      </w:r>
      <w:r>
        <w:t xml:space="preserve">“preséntate”</w:t>
      </w:r>
      <w:r>
        <w:t xml:space="preserve"> </w:t>
      </w:r>
      <w:r>
        <w:t xml:space="preserve">sin límite definido. Enumerar las obligaciones de forma discreta, y vincular cada una a un derecho correspondiente, mantiene lo que se pide acotado e impugnable. Un miembro siempre debe poder saber si está cumpliendo el acuerdo o si se le está pidiendo algo que lo excede.</w:t>
      </w:r>
    </w:p>
    <w:p>
      <w:pPr>
        <w:pStyle w:val="BlockText"/>
      </w:pPr>
      <w:r>
        <w:rPr>
          <w:b/>
          <w:bCs/>
        </w:rPr>
        <w:t xml:space="preserve">Instrucciones — Cómo completar esta sección</w:t>
      </w:r>
    </w:p>
    <w:p>
      <w:pPr>
        <w:pStyle w:val="BlockText"/>
      </w:pPr>
      <w:r>
        <w:t xml:space="preserve">Enumera obligaciones concretas y acotadas. Cada obligación debe ser verificable: un miembro debe poder saber si la está cumpliendo. Evita deberes vagos.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&lt;Obligación 1, p. ej., cumplir en todo momento con todas las restricciones de identidad e invariantes de la Capa 0.&gt;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&lt;Obligación 2, p. ej., contribuir a la comunidad en al menos una categoría reconocida por período definido.&gt;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&lt;Obligación 3, p. ej., participar en los procesos de resolución de conflictos cuando sea nombrado como parte o solicitado como testigo.&gt;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&lt;Obligación 4, p. ej., completar la incorporación antes de ejercer los derechos de Miembro Pleno.&gt;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&lt;Obligación 5, p. ej., notificar a la comunidad antes de una ausencia prolongada.&gt;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&lt;Obligación 6, p. ej., no tergiversar a la comunidad, sus miembros o su gobernanza ante el exterior.&gt;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&lt;Obligación 7, p. ej., no ejercer autoridad más allá de lo explícitamente asignado a través del sistema de gobernanza.&gt;</w:t>
      </w:r>
    </w:p>
    <w:bookmarkEnd w:id="20"/>
    <w:bookmarkStart w:id="21" w:name="Xb2d1614a31b93b1f0ab216d2028b3aef647ddf9"/>
    <w:p>
      <w:pPr>
        <w:pStyle w:val="Heading2"/>
      </w:pPr>
      <w:r>
        <w:t xml:space="preserve">Expectativas de Participación y Contribución</w:t>
      </w:r>
    </w:p>
    <w:p>
      <w:pPr>
        <w:pStyle w:val="FirstParagraph"/>
      </w:pPr>
      <w:r>
        <w:rPr>
          <w:i/>
          <w:iCs/>
        </w:rPr>
        <w:t xml:space="preserve">Cláusulas RCOS: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3.5.1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3.5.2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3.5.3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3.5.4</w:t>
        </w:r>
      </w:hyperlink>
    </w:p>
    <w:p>
      <w:pPr>
        <w:pStyle w:val="BlockText"/>
      </w:pPr>
      <w:r>
        <w:rPr>
          <w:b/>
          <w:bCs/>
        </w:rPr>
        <w:t xml:space="preserve">Justificación — ¿Por qué definir la participación con números</w:t>
      </w:r>
    </w:p>
    <w:p>
      <w:pPr>
        <w:pStyle w:val="BlockText"/>
      </w:pPr>
      <w:r>
        <w:t xml:space="preserve">“Miembro activo”</w:t>
      </w:r>
      <w:r>
        <w:t xml:space="preserve"> </w:t>
      </w:r>
      <w:r>
        <w:t xml:space="preserve">no significa nada sin un umbral. Un mínimo definido — en tiempo, categoría y cadencia — convierte la participación de una sensación en un hecho, de modo que nadie tenga que adivinar si está al día y nadie pueda ser acusado de alejarse sin evidencia. También hace visible la línea entre una ausencia genuina y un abandono silencioso lo suficientemente pronto como para actuar.</w:t>
      </w:r>
    </w:p>
    <w:p>
      <w:pPr>
        <w:pStyle w:val="BlockText"/>
      </w:pPr>
      <w:r>
        <w:rPr>
          <w:b/>
          <w:bCs/>
        </w:rPr>
        <w:t xml:space="preserve">Instrucciones — Cómo completar esta sección</w:t>
      </w:r>
    </w:p>
    <w:p>
      <w:pPr>
        <w:pStyle w:val="BlockText"/>
      </w:pPr>
      <w:r>
        <w:t xml:space="preserve">Establece un mínimo medible (frecuencia × categoría), reglas de sustitución y ausencia, y el detonante que mueve a un miembro no participante a un proceso de la Capa 4.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Contribución mínima:</w:t>
      </w:r>
      <w:r>
        <w:t xml:space="preserve"> </w:t>
      </w:r>
      <w:r>
        <w:rPr>
          <w:i/>
          <w:iCs/>
        </w:rPr>
        <w:t xml:space="preserve">&lt;p. ej., al menos una contribución reconocida cada 6 meses, en cualquier categoría reconocida.&gt;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Categorías reconocidas:</w:t>
      </w:r>
      <w:r>
        <w:t xml:space="preserve"> </w:t>
      </w:r>
      <w:r>
        <w:rPr>
          <w:i/>
          <w:iCs/>
        </w:rPr>
        <w:t xml:space="preserve">&lt;hacer referencia al Protocolo de Economía Interna (Capa 3).&gt;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Sustitución:</w:t>
      </w:r>
      <w:r>
        <w:t xml:space="preserve"> </w:t>
      </w:r>
      <w:r>
        <w:rPr>
          <w:i/>
          <w:iCs/>
        </w:rPr>
        <w:t xml:space="preserve">&lt;p. ej., un miembro puede delegar una tarea específica pero sigue siendo responsable de cumplir las expectativas generales de contribución.&gt;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Ausencia prolongada:</w:t>
      </w:r>
      <w:r>
        <w:t xml:space="preserve"> </w:t>
      </w:r>
      <w:r>
        <w:rPr>
          <w:i/>
          <w:iCs/>
        </w:rPr>
        <w:t xml:space="preserve">&lt;p. ej., se requiere notificación antes de ausencias superiores a X meses; las expectativas se pausan durante el período notificado hasta un máximo.&gt;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Detonante de no participación:</w:t>
      </w:r>
      <w:r>
        <w:t xml:space="preserve"> </w:t>
      </w:r>
      <w:r>
        <w:rPr>
          <w:i/>
          <w:iCs/>
        </w:rPr>
        <w:t xml:space="preserve">&lt;p. ej., la ausencia de contribución reconocida durante X meses consecutivos sin aviso previo activa una verificación de rendición de cuentas (Capa 4).&gt;</w:t>
      </w:r>
    </w:p>
    <w:bookmarkEnd w:id="21"/>
    <w:bookmarkStart w:id="22" w:name="referencia-al-debido-proceso"/>
    <w:p>
      <w:pPr>
        <w:pStyle w:val="Heading2"/>
      </w:pPr>
      <w:r>
        <w:t xml:space="preserve">Referencia al Debido Proceso</w:t>
      </w:r>
    </w:p>
    <w:p>
      <w:pPr>
        <w:pStyle w:val="BlockText"/>
      </w:pPr>
      <w:r>
        <w:rPr>
          <w:b/>
          <w:bCs/>
        </w:rPr>
        <w:t xml:space="preserve">Justificación — ¿Por qué reiterar el debido proceso aquí</w:t>
      </w:r>
    </w:p>
    <w:p>
      <w:pPr>
        <w:pStyle w:val="BlockText"/>
      </w:pPr>
      <w:r>
        <w:t xml:space="preserve">El Acuerdo de Membresía es el único documento que cada miembro realmente lee y al que da su consentimiento. Nombrar el debido proceso aquí — no solo en la Capa 4 — garantiza que ningún miembro pueda ser expulsado o restringido bajo una regla que no le fue mostrada cuando se incorporó. Cierra la brecha entre lo que la comunidad promete y lo que puede hacer.</w:t>
      </w:r>
    </w:p>
    <w:p>
      <w:pPr>
        <w:pStyle w:val="BlockText"/>
      </w:pPr>
      <w:r>
        <w:rPr>
          <w:b/>
          <w:bCs/>
        </w:rPr>
        <w:t xml:space="preserve">Instrucciones — Cómo completar esta sección</w:t>
      </w:r>
    </w:p>
    <w:p>
      <w:pPr>
        <w:pStyle w:val="BlockText"/>
      </w:pPr>
      <w:r>
        <w:t xml:space="preserve">Haz referencia a la Escalera de Resolución de Conflictos (Capa 4) y al Protocolo de Salida y Separación para que cualquier miembro que lea el Acuerdo de Membresía sepa dónde residen las protecciones procedimentales.</w:t>
      </w:r>
    </w:p>
    <w:p>
      <w:pPr>
        <w:pStyle w:val="FirstParagraph"/>
      </w:pPr>
      <w:r>
        <w:t xml:space="preserve">Cualquier salida forzada, suspensión o restricción de acceso sigue el debido proceso de la Capa 4 y el Protocolo de Salida y Separación.</w:t>
      </w:r>
    </w:p>
    <w:bookmarkEnd w:id="22"/>
    <w:bookmarkStart w:id="23" w:name="reconocimiento-de-consentimiento"/>
    <w:p>
      <w:pPr>
        <w:pStyle w:val="Heading2"/>
      </w:pPr>
      <w:r>
        <w:t xml:space="preserve">Reconocimiento de Consentimiento</w:t>
      </w:r>
    </w:p>
    <w:p>
      <w:pPr>
        <w:pStyle w:val="BlockText"/>
      </w:pPr>
      <w:r>
        <w:rPr>
          <w:b/>
          <w:bCs/>
        </w:rPr>
        <w:t xml:space="preserve">Justificación — ¿Por qué exigir consentimiento explícito</w:t>
      </w:r>
    </w:p>
    <w:p>
      <w:pPr>
        <w:pStyle w:val="BlockText"/>
      </w:pPr>
      <w:r>
        <w:t xml:space="preserve">El consentimiento que se asume es consentimiento que puede negarse después. Exigir un acto explícito — firmar, hacer clic, reconocer — en un momento conocido vincula al miembro con las versiones específicas de los artefactos vigentes ese día, y da a la comunidad un registro defendible de que el acuerdo fue celebrado libre y conscientemente.</w:t>
      </w:r>
    </w:p>
    <w:p>
      <w:pPr>
        <w:pStyle w:val="BlockText"/>
      </w:pPr>
      <w:r>
        <w:rPr>
          <w:b/>
          <w:bCs/>
        </w:rPr>
        <w:t xml:space="preserve">Instrucciones — Cómo completar esta sección</w:t>
      </w:r>
    </w:p>
    <w:p>
      <w:pPr>
        <w:pStyle w:val="BlockText"/>
      </w:pPr>
      <w:r>
        <w:t xml:space="preserve">Describe el acto de consentimiento (firma, reconocimiento en la aplicación, etc.) y a qué versiones de los artefactos está consintiendo el miembro en ese momento.</w:t>
      </w:r>
    </w:p>
    <w:p>
      <w:pPr>
        <w:pStyle w:val="FirstParagraph"/>
      </w:pPr>
      <w:r>
        <w:t xml:space="preserve">Al ingresar a la comunidad a través del proceso de incorporación definido, el miembro consiente explícitamente los términos de este acuerdo y los artefactos de la Capa 0 vigentes en el momento de la admisión.</w:t>
      </w:r>
    </w:p>
    <w:p>
      <w:r>
        <w:pict>
          <v:rect style="width:0;height:1.5pt" o:hralign="center" o:hrstd="t" o:hr="t"/>
        </w:pict>
      </w:r>
    </w:p>
    <w:bookmarkEnd w:id="23"/>
    <w:bookmarkStart w:id="24" w:name="registro-de-ratificación"/>
    <w:p>
      <w:pPr>
        <w:pStyle w:val="Heading2"/>
      </w:pPr>
      <w:r>
        <w:t xml:space="preserve">Registro de Ratificación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Adoptado:</w:t>
      </w:r>
      <w:r>
        <w:t xml:space="preserve"> 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Tipo de decisión:</w:t>
      </w:r>
      <w:r>
        <w:t xml:space="preserve"> </w:t>
      </w:r>
      <w:r>
        <w:t xml:space="preserve">Estratégica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Versión:</w:t>
      </w:r>
      <w:r>
        <w:t xml:space="preserve"> </w:t>
      </w:r>
      <w:r>
        <w:t xml:space="preserve">&lt;versión&gt;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Registro de decisión:</w:t>
      </w:r>
      <w:r>
        <w:t xml:space="preserve"> </w:t>
      </w:r>
      <w:r>
        <w:t xml:space="preserve">&lt;enlace al registro de decisión&gt;</w:t>
      </w:r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7" Target="https://blueprint.ecohubs.community/es/articles/rcos-core/v0-1/layer-1-membership-system#31-membership-states" TargetMode="External" /><Relationship Type="http://schemas.openxmlformats.org/officeDocument/2006/relationships/hyperlink" Id="rId14" Target="https://blueprint.ecohubs.community/es/articles/rcos-core/v0-1/layer-1-membership-system#34-rights-and-obligations" TargetMode="External" /><Relationship Type="http://schemas.openxmlformats.org/officeDocument/2006/relationships/hyperlink" Id="rId15" Target="https://blueprint.ecohubs.community/es/articles/rcos-core/v0-1/layer-1-membership-system#35-participation-and-contribution" TargetMode="External" /><Relationship Type="http://schemas.openxmlformats.org/officeDocument/2006/relationships/hyperlink" Id="rId16" Target="https://blueprint.ecohubs.community/es/articles/rcos-core/v0-1/layer-1-membership-system#38-artifac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1/membership-agreemen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7" Target="https://blueprint.ecohubs.community/es/articles/rcos-core/v0-1/layer-1-membership-system#31-membership-states" TargetMode="External" /><Relationship Type="http://schemas.openxmlformats.org/officeDocument/2006/relationships/hyperlink" Id="rId14" Target="https://blueprint.ecohubs.community/es/articles/rcos-core/v0-1/layer-1-membership-system#34-rights-and-obligations" TargetMode="External" /><Relationship Type="http://schemas.openxmlformats.org/officeDocument/2006/relationships/hyperlink" Id="rId15" Target="https://blueprint.ecohubs.community/es/articles/rcos-core/v0-1/layer-1-membership-system#35-participation-and-contribution" TargetMode="External" /><Relationship Type="http://schemas.openxmlformats.org/officeDocument/2006/relationships/hyperlink" Id="rId16" Target="https://blueprint.ecohubs.community/es/articles/rcos-core/v0-1/layer-1-membership-system#38-artifacts" TargetMode="External" /><Relationship Type="http://schemas.openxmlformats.org/officeDocument/2006/relationships/hyperlink" Id="rId13" Target="https://blueprint.ecohubs.community/es/articles/rcos-templates" TargetMode="External" /><Relationship Type="http://schemas.openxmlformats.org/officeDocument/2006/relationships/hyperlink" Id="rId12" Target="https://blueprint.ecohubs.community/es/articles/rcos-templates/layer-1/membership-agreemen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2026-04-29T01:58:22Z</dcterms:created>
  <dcterms:modified xsi:type="dcterms:W3CDTF">2026-04-29T01:58:22Z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Acuerdo de Membresía</vt:lpwstr>
  </property>
</Properties>
</file>