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1" w:name="declaración-de-alcance"/>
    <w:p>
      <w:pPr>
        <w:pStyle w:val="Heading1"/>
      </w:pPr>
      <w:r>
        <w:t xml:space="preserve">Declaración de Alcance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https://blueprint.ecohubs.community/es/articles/rcos-templates/layer-0/scope-declaration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0 — Identidad y Alcance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§2.2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§2.5</w:t>
        </w:r>
      </w:hyperlink>
    </w:p>
    <w:p>
      <w:r>
        <w:pict>
          <v:rect style="width:0;height:1.5pt" o:hralign="center" o:hrstd="t" o:hr="t"/>
        </w:pict>
      </w:r>
    </w:p>
    <w:bookmarkStart w:id="16" w:name="activos-dentro-del-alcance"/>
    <w:p>
      <w:pPr>
        <w:pStyle w:val="Heading2"/>
      </w:pPr>
      <w:r>
        <w:t xml:space="preserve">Activos Dentro del Alcance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2.2.4</w:t>
        </w:r>
      </w:hyperlink>
    </w:p>
    <w:p>
      <w:pPr>
        <w:pStyle w:val="BlockText"/>
      </w:pPr>
      <w:r>
        <w:rPr>
          <w:b/>
          <w:bCs/>
        </w:rPr>
        <w:t xml:space="preserve">Justificación — ¿Por qué enumerar cada activo gobernado</w:t>
      </w:r>
    </w:p>
    <w:p>
      <w:pPr>
        <w:pStyle w:val="BlockText"/>
      </w:pPr>
      <w:r>
        <w:t xml:space="preserve">Si la comunidad no ha nombrado explícitamente un activo como dentro del alcance, no lo está — punto final. Listar los activos por nombre cierra la brecha donde reclamos informales de autoridad crecen sobre recursos no declarados, y da a los miembros una lista de verificación concreta para comprobar qué controla realmente la comunidad.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Lista cada activo que la comunidad gobierna colectivamente: fondos compartidos, tesorerías, terrenos, bienes raíces, software, sitios web, cuentas en redes sociales, marca, propiedad intelectual, infraestructura física, etc. Sé específico/a — nombra cuentas, billeteras, dominios.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&lt;Activo 1, p. ej. la tesorería compartida en una billetera multi-firma específica.&gt;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&lt;Activo 2, p. ej. el sitio web de la comunidad y su dominio.&gt;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&lt;Activo 3, p. ej. infraestructura física compartida o terrenos.&gt;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&lt;Activo 4.&gt;</w:t>
      </w:r>
    </w:p>
    <w:bookmarkEnd w:id="16"/>
    <w:bookmarkStart w:id="17" w:name="dominios-de-decisión-dentro-del-alcance"/>
    <w:p>
      <w:pPr>
        <w:pStyle w:val="Heading2"/>
      </w:pPr>
      <w:r>
        <w:t xml:space="preserve">Dominios de Decisión Dentro del Alcance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2.2.2</w:t>
        </w:r>
      </w:hyperlink>
    </w:p>
    <w:p>
      <w:pPr>
        <w:pStyle w:val="BlockText"/>
      </w:pPr>
      <w:r>
        <w:rPr>
          <w:b/>
          <w:bCs/>
        </w:rPr>
        <w:t xml:space="preserve">Justificación — ¿Por qué nombrar dominios de decisión y no solo activos</w:t>
      </w:r>
    </w:p>
    <w:p>
      <w:pPr>
        <w:pStyle w:val="BlockText"/>
      </w:pPr>
      <w:r>
        <w:t xml:space="preserve">El alcance no se trata solo de cosas — se trata de qué tipos de preguntas la comunidad puede responder colectivamente. Nombrar los dominios de decisión deja claro sin ambigüedad dónde se aplica la autoridad colectiva y dónde un individuo o una parte externa aún decide, previniendo la captura silenciosa de territorio de decisión.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Lista las categorías de decisiones sobre las que la comunidad tiene autoridad. Estas se corresponden con capas posteriores (gobernanza, membresía, tesorería, etc.) — nómbralas a un nivel que deje claro qué tipos de preguntas la comunidad decide en conjunto.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&lt;Dominio de decisión 1, p. ej. reglas de gobernanza y procesos de decisión (Capa 2).&gt;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&lt;Dominio de decisión 2, p. ej. reglas de membresía y admisión (Capa 1).&gt;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&lt;Dominio de decisión 3, p. ej. tesorería y asignación de recursos compartidos (Capa 3).&gt;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&lt;Dominio de decisión 4.&gt;</w:t>
      </w:r>
    </w:p>
    <w:bookmarkEnd w:id="17"/>
    <w:bookmarkStart w:id="18" w:name="X24cfa23431453408e6b6d99693e061c14284d52"/>
    <w:p>
      <w:pPr>
        <w:pStyle w:val="Heading2"/>
      </w:pPr>
      <w:r>
        <w:t xml:space="preserve">Actividades y Responsabilidades Dentro del Alcance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2.2.2</w:t>
        </w:r>
      </w:hyperlink>
    </w:p>
    <w:p>
      <w:pPr>
        <w:pStyle w:val="BlockText"/>
      </w:pPr>
      <w:r>
        <w:rPr>
          <w:b/>
          <w:bCs/>
        </w:rPr>
        <w:t xml:space="preserve">Justificación — ¿Por qué declarar el trabajo que la comunidad asume</w:t>
      </w:r>
    </w:p>
    <w:p>
      <w:pPr>
        <w:pStyle w:val="BlockText"/>
      </w:pPr>
      <w:r>
        <w:t xml:space="preserve">Autoridad sin responsabilidad asumida produce parálisis; responsabilidad sin autoridad declarada produce agotamiento y culpa. Listar las actividades que la comunidad gobierna colectivamente hace el trabajo visible, asignable y con rendición de cuentas — y hace obvio cuándo algo importante no tiene responsable.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Lista las actividades continuas de las que la comunidad es responsable: mantener infraestructura compartida, admitir miembros, reportar sobre recursos, custodiar la marca, etc. Estas son las cosas que necesitan un responsable a través de la Capa 5.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&lt;Actividad 1.&gt;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&lt;Actividad 2.&gt;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&lt;Actividad 3.&gt;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&lt;Actividad 4.&gt;</w:t>
      </w:r>
    </w:p>
    <w:bookmarkEnd w:id="18"/>
    <w:bookmarkStart w:id="19" w:name="explícitamente-fuera-del-alcance"/>
    <w:p>
      <w:pPr>
        <w:pStyle w:val="Heading2"/>
      </w:pPr>
      <w:r>
        <w:t xml:space="preserve">Explícitamente Fuera del Alcance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2.2.5</w:t>
        </w:r>
      </w:hyperlink>
    </w:p>
    <w:p>
      <w:pPr>
        <w:pStyle w:val="BlockText"/>
      </w:pPr>
      <w:r>
        <w:rPr>
          <w:b/>
          <w:bCs/>
        </w:rPr>
        <w:t xml:space="preserve">Justificación — ¿Por qué nombrar lo que la comunidad no debe tocar</w:t>
      </w:r>
    </w:p>
    <w:p>
      <w:pPr>
        <w:pStyle w:val="BlockText"/>
      </w:pPr>
      <w:r>
        <w:t xml:space="preserve">Un límite no declarado no es ningún límite. Los elementos explícitamente fuera del alcance protegen a los miembros de que la comunidad se entrometa en sus vidas privadas y finanzas, y protegen a partes externas de que la comunidad presuma autoridad sobre sus asuntos. Si no está nombrado aquí, la regla por defecto de</w:t>
      </w:r>
      <w:r>
        <w:t xml:space="preserve"> </w:t>
      </w:r>
      <w:r>
        <w:t xml:space="preserve">“no está dentro del alcance significa fuera del alcance”</w:t>
      </w:r>
      <w:r>
        <w:t xml:space="preserve"> </w:t>
      </w:r>
      <w:r>
        <w:t xml:space="preserve">sigue aplicando — pero nombrar los más importantes elimina cualquier margen de discusión.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Lista los límites más importantes: cosas que la gente podría asumir que están dentro del alcance pero no lo están. Finanzas personales, relaciones privadas, infraestructura de terceros, proyectos externos, etc.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&lt;Elemento fuera del alcance 1, p. ej. ingresos personales y finanzas privadas de los miembros.&gt;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&lt;Elemento fuera del alcance 2, p. ej. relaciones privadas y arreglos de vivienda personales (excepto donde apliquen condiciones críticas de seguridad de la Capa 4).&gt;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&lt;Elemento fuera del alcance 3, p. ej. infraestructura de servidores subyacente y contratos con servicios de terceros.&gt;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&lt;Elemento fuera del alcance 4.&gt;</w:t>
      </w:r>
    </w:p>
    <w:p>
      <w:r>
        <w:pict>
          <v:rect style="width:0;height:1.5pt" o:hralign="center" o:hrstd="t" o:hr="t"/>
        </w:pict>
      </w:r>
    </w:p>
    <w:bookmarkEnd w:id="19"/>
    <w:bookmarkStart w:id="20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Constitucional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0-identity-scope#22-scope-declaration" TargetMode="External" /><Relationship Type="http://schemas.openxmlformats.org/officeDocument/2006/relationships/hyperlink" Id="rId15" Target="https://blueprint.ecohubs.community/es/articles/rcos-core/v0-1/layer-0-identity-scope#25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0/scope-declara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0-identity-scope#22-scope-declaration" TargetMode="External" /><Relationship Type="http://schemas.openxmlformats.org/officeDocument/2006/relationships/hyperlink" Id="rId15" Target="https://blueprint.ecohubs.community/es/articles/rcos-core/v0-1/layer-0-identity-scope#25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0/scope-declar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2026-04-29T01:58:22Z</dcterms:created>
  <dcterms:modified xsi:type="dcterms:W3CDTF">2026-04-29T01:58:22Z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Declaración de Alcance</vt:lpwstr>
  </property>
</Properties>
</file>