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18" w:name="registro-de-invariantes"/>
    <w:p>
      <w:pPr>
        <w:pStyle w:val="Heading1"/>
      </w:pPr>
      <w:r>
        <w:t xml:space="preserve">Registro de Invariantes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https://blueprint.ecohubs.community/es/articles/rcos-templates/layer-0/invariants-register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0 — Identidad y Alcance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§2.3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§2.5</w:t>
        </w:r>
      </w:hyperlink>
    </w:p>
    <w:p>
      <w:pPr>
        <w:pStyle w:val="BlockText"/>
      </w:pPr>
      <w:r>
        <w:t xml:space="preserve">Las invariantes son restricciones que NO DEBEN ser violadas mientras estén en vigor. Ninguna decisión, rol, proceso o medida de emergencia puede anular una invariante. Si surge un conflicto entre una invariante y cualquier otra regla, la invariante prevalece.</w:t>
      </w:r>
    </w:p>
    <w:p>
      <w:r>
        <w:pict>
          <v:rect style="width:0;height:1.5pt" o:hralign="center" o:hrstd="t" o:hr="t"/>
        </w:pict>
      </w:r>
    </w:p>
    <w:bookmarkStart w:id="16" w:name="invariantes-activas"/>
    <w:p>
      <w:pPr>
        <w:pStyle w:val="Heading2"/>
      </w:pPr>
      <w:r>
        <w:t xml:space="preserve">Invariantes Activas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2.3.6</w:t>
        </w:r>
      </w:hyperlink>
    </w:p>
    <w:p>
      <w:pPr>
        <w:pStyle w:val="BlockText"/>
      </w:pPr>
      <w:r>
        <w:rPr>
          <w:b/>
          <w:bCs/>
        </w:rPr>
        <w:t xml:space="preserve">Justificación — ¿Por qué las invariantes no pueden ser anuladas</w:t>
      </w:r>
    </w:p>
    <w:p>
      <w:pPr>
        <w:pStyle w:val="BlockText"/>
      </w:pPr>
      <w:r>
        <w:t xml:space="preserve">Las invariantes son el piso firme del sistema — aquello que debe mantenerse verdadero incluso bajo presión, emergencia o votación popular. Si cualquier decisión, rol o medida de crisis pudiera anularlas, dejarían de ser restricciones y se convertirían en preferencias. Enumerarlas explícitamente y vincularlas a todas las capas es lo que hace que el sistema de gobernanza sea confiable bajo estrés, no solo en días tranquilos.</w:t>
      </w:r>
    </w:p>
    <w:p>
      <w:pPr>
        <w:pStyle w:val="BlockText"/>
      </w:pPr>
      <w:r>
        <w:rPr>
          <w:b/>
          <w:bCs/>
        </w:rPr>
        <w:t xml:space="preserve">Instrucciones — Cómo completar esto</w:t>
      </w:r>
    </w:p>
    <w:p>
      <w:pPr>
        <w:pStyle w:val="BlockText"/>
      </w:pPr>
      <w:r>
        <w:t xml:space="preserve">Cada invariante es una restricción firme. Mantenlas pocas, específicas y absolutas — formuladas de modo que cualquier violación sea inequívocamente identificable. Categorías comunes: protección del propósito, trazabilidad de la autoridad, derechos de salida, neutralidad ideológica, no-extracción, primacía de la seguridad.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Invariante</w:t>
            </w:r>
          </w:p>
        </w:tc>
        <w:tc>
          <w:tcPr/>
          <w:p>
            <w:pPr>
              <w:pStyle w:val="Compact"/>
            </w:pPr>
            <w:r>
              <w:t xml:space="preserve">Añadida</w:t>
            </w:r>
          </w:p>
        </w:tc>
        <w:tc>
          <w:tcPr/>
          <w:p>
            <w:pPr>
              <w:pStyle w:val="Compact"/>
            </w:pPr>
            <w:r>
              <w:t xml:space="preserve">Registro de decisión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INV-001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invariante, p. ej. El propósito principal nunca puede ser anulado por ninguna decisión operativa o estratégica, rol o medida de emergencia.&gt;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INV-002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invariante, p. ej. La autoridad siempre debe ser explícita y trazable al sistema de gobernanza — ninguna persona o rol puede poseer o ejercer autoridad no declarada.&gt;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INV-003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invariante, p. ej. La salida de la comunidad siempre debe ser posible y nunca puede ser bloqueada, penalizada ni condicionada más allá de lo definido en la Capa 1.&gt;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INV-004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INV-005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INV-006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&lt;Declaración de invariante, p. ej. La seguridad física, psicológica e infantil siempre prevalece sobre los derechos de participación, la continuidad de roles y las preocupaciones reputacionales.&gt;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[enlace]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Start w:id="17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Adoptada: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Constitucional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es/articles/rcos-core/v0-1/layer-0-identity-scope#23-invariants" TargetMode="External" /><Relationship Type="http://schemas.openxmlformats.org/officeDocument/2006/relationships/hyperlink" Id="rId15" Target="https://blueprint.ecohubs.community/es/articles/rcos-core/v0-1/layer-0-identity-scope#25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0/invariants-regis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es/articles/rcos-core/v0-1/layer-0-identity-scope#23-invariants" TargetMode="External" /><Relationship Type="http://schemas.openxmlformats.org/officeDocument/2006/relationships/hyperlink" Id="rId15" Target="https://blueprint.ecohubs.community/es/articles/rcos-core/v0-1/layer-0-identity-scope#25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0/invariants-regis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2026-04-29T01:58:22Z</dcterms:created>
  <dcterms:modified xsi:type="dcterms:W3CDTF">2026-04-29T01:58:22Z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Registro de Invariantes</vt:lpwstr>
  </property>
</Properties>
</file>