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19" w:name="learning-log"/>
    <w:p>
      <w:pPr>
        <w:pStyle w:val="Heading1"/>
      </w:pPr>
      <w:r>
        <w:t xml:space="preserve">Learning Log</w:t>
      </w:r>
    </w:p>
    <w:p>
      <w:pPr>
        <w:pStyle w:val="Compact"/>
        <w:numPr>
          <w:ilvl w:val="0"/>
          <w:numId w:val="1001"/>
        </w:numPr>
      </w:pPr>
      <w:r>
        <w:rPr>
          <w:b/>
          <w:bCs/>
        </w:rPr>
        <w:t xml:space="preserve">Generated:</w:t>
      </w:r>
      <w:r>
        <w:t xml:space="preserve"> </w:t>
      </w:r>
      <w:r>
        <w:t xml:space="preserve">2026-04-29</w:t>
      </w:r>
    </w:p>
    <w:p>
      <w:pPr>
        <w:pStyle w:val="Compact"/>
        <w:numPr>
          <w:ilvl w:val="0"/>
          <w:numId w:val="1001"/>
        </w:numPr>
      </w:pPr>
      <w:r>
        <w:rPr>
          <w:b/>
          <w:bCs/>
        </w:rPr>
        <w:t xml:space="preserve">Source (latest version):</w:t>
      </w:r>
      <w:r>
        <w:t xml:space="preserve"> </w:t>
      </w:r>
      <w:hyperlink r:id="rId12">
        <w:r>
          <w:rPr>
            <w:rStyle w:val="Hyperlink"/>
          </w:rPr>
          <w:t xml:space="preserve">https://blueprint.ecohubs.community/articles/rcos-templates/layer-6/learning-log</w:t>
        </w:r>
      </w:hyperlink>
    </w:p>
    <w:p>
      <w:pPr>
        <w:pStyle w:val="Compact"/>
        <w:numPr>
          <w:ilvl w:val="0"/>
          <w:numId w:val="1001"/>
        </w:numPr>
      </w:pPr>
      <w:r>
        <w:rPr>
          <w:b/>
          <w:bCs/>
        </w:rPr>
        <w:t xml:space="preserve">All RCOS templates:</w:t>
      </w:r>
      <w:r>
        <w:t xml:space="preserve"> </w:t>
      </w:r>
      <w:hyperlink r:id="rId13">
        <w:r>
          <w:rPr>
            <w:rStyle w:val="Hyperlink"/>
          </w:rPr>
          <w:t xml:space="preserve">https://blueprint.ecohubs.community/articles/rcos-templates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6 — Evolution &amp; Adaptation</w:t>
      </w:r>
    </w:p>
    <w:p>
      <w:pPr>
        <w:pStyle w:val="Compact"/>
        <w:numPr>
          <w:ilvl w:val="0"/>
          <w:numId w:val="1002"/>
        </w:numPr>
      </w:pPr>
      <w:r>
        <w:rPr>
          <w:b/>
          <w:bCs/>
        </w:rPr>
        <w:t xml:space="preserve">Status:</w:t>
      </w:r>
      <w:r>
        <w:t xml:space="preserve"> </w:t>
      </w:r>
      <w:r>
        <w:t xml:space="preserve">Template — adapt for your community; updated when learnable events occur</w:t>
      </w:r>
    </w:p>
    <w:p>
      <w:pPr>
        <w:pStyle w:val="Compact"/>
        <w:numPr>
          <w:ilvl w:val="0"/>
          <w:numId w:val="1002"/>
        </w:numPr>
      </w:pPr>
      <w:r>
        <w:rPr>
          <w:b/>
          <w:bCs/>
        </w:rPr>
        <w:t xml:space="preserve">RCOS reference:</w:t>
      </w:r>
      <w:r>
        <w:t xml:space="preserve"> </w:t>
      </w:r>
      <w:hyperlink r:id="rId14">
        <w:r>
          <w:rPr>
            <w:rStyle w:val="Hyperlink"/>
          </w:rPr>
          <w:t xml:space="preserve">§8.4</w:t>
        </w:r>
      </w:hyperlink>
      <w:r>
        <w:t xml:space="preserve">,</w:t>
      </w:r>
      <w:r>
        <w:t xml:space="preserve"> </w:t>
      </w:r>
      <w:hyperlink r:id="rId15">
        <w:r>
          <w:rPr>
            <w:rStyle w:val="Hyperlink"/>
          </w:rPr>
          <w:t xml:space="preserve">§8.6</w:t>
        </w:r>
      </w:hyperlink>
    </w:p>
    <w:p>
      <w:pPr>
        <w:pStyle w:val="BlockText"/>
      </w:pPr>
      <w:r>
        <w:t xml:space="preserve">Records major failures, adaptations, reversals, and systemic learnings. Repeated failure patterns must trigger structural review, not individual blame. Entries are prepended (most recent first).</w:t>
      </w:r>
    </w:p>
    <w:p>
      <w:r>
        <w:pict>
          <v:rect style="width:0;height:1.5pt" o:hralign="center" o:hrstd="t" o:hr="t"/>
        </w:pict>
      </w:r>
    </w:p>
    <w:bookmarkStart w:id="17" w:name="what-constitutes-a-learnable-event"/>
    <w:p>
      <w:pPr>
        <w:pStyle w:val="Heading2"/>
      </w:pPr>
      <w:r>
        <w:t xml:space="preserve">What Constitutes a Learnable Event</w:t>
      </w:r>
    </w:p>
    <w:p>
      <w:pPr>
        <w:pStyle w:val="FirstParagraph"/>
      </w:pPr>
      <w:r>
        <w:rPr>
          <w:i/>
          <w:iCs/>
        </w:rPr>
        <w:t xml:space="preserve">RCOS clauses:</w:t>
      </w:r>
      <w:r>
        <w:rPr>
          <w:i/>
          <w:iCs/>
        </w:rPr>
        <w:t xml:space="preserve"> </w:t>
      </w:r>
      <w:hyperlink r:id="rId14">
        <w:r>
          <w:rPr>
            <w:rStyle w:val="Hyperlink"/>
            <w:i/>
            <w:iCs/>
          </w:rPr>
          <w:t xml:space="preserve">8.4.1</w:t>
        </w:r>
      </w:hyperlink>
      <w:r>
        <w:rPr>
          <w:i/>
          <w:iCs/>
        </w:rPr>
        <w:t xml:space="preserve">,</w:t>
      </w:r>
      <w:r>
        <w:rPr>
          <w:i/>
          <w:iCs/>
        </w:rPr>
        <w:t xml:space="preserve"> </w:t>
      </w:r>
      <w:hyperlink r:id="rId14">
        <w:r>
          <w:rPr>
            <w:rStyle w:val="Hyperlink"/>
            <w:i/>
            <w:iCs/>
          </w:rPr>
          <w:t xml:space="preserve">8.4.4</w:t>
        </w:r>
      </w:hyperlink>
      <w:r>
        <w:rPr>
          <w:i/>
          <w:iCs/>
        </w:rPr>
        <w:t xml:space="preserve">,</w:t>
      </w:r>
      <w:r>
        <w:rPr>
          <w:i/>
          <w:iCs/>
        </w:rPr>
        <w:t xml:space="preserve"> </w:t>
      </w:r>
      <w:hyperlink r:id="rId15">
        <w:r>
          <w:rPr>
            <w:rStyle w:val="Hyperlink"/>
            <w:i/>
            <w:iCs/>
          </w:rPr>
          <w:t xml:space="preserve">8.6.5</w:t>
        </w:r>
      </w:hyperlink>
      <w:r>
        <w:rPr>
          <w:i/>
          <w:iCs/>
        </w:rPr>
        <w:t xml:space="preserve">,</w:t>
      </w:r>
      <w:r>
        <w:rPr>
          <w:i/>
          <w:iCs/>
        </w:rPr>
        <w:t xml:space="preserve"> </w:t>
      </w:r>
      <w:hyperlink r:id="rId16">
        <w:r>
          <w:rPr>
            <w:rStyle w:val="Hyperlink"/>
            <w:i/>
            <w:iCs/>
          </w:rPr>
          <w:t xml:space="preserve">8.7.4</w:t>
        </w:r>
      </w:hyperlink>
    </w:p>
    <w:p>
      <w:pPr>
        <w:pStyle w:val="BlockText"/>
      </w:pPr>
      <w:r>
        <w:rPr>
          <w:b/>
          <w:bCs/>
        </w:rPr>
        <w:t xml:space="preserve">Rationale — Why define the trigger explicitly</w:t>
      </w:r>
    </w:p>
    <w:p>
      <w:pPr>
        <w:pStyle w:val="BlockText"/>
      </w:pPr>
      <w:r>
        <w:t xml:space="preserve">If</w:t>
      </w:r>
      <w:r>
        <w:t xml:space="preserve"> </w:t>
      </w:r>
      <w:r>
        <w:t xml:space="preserve">“we should learn from this”</w:t>
      </w:r>
      <w:r>
        <w:t xml:space="preserve"> </w:t>
      </w:r>
      <w:r>
        <w:t xml:space="preserve">is left to individual judgement, the hardest lessons — the ones involving conflict, failure, or embarrassment — are the ones most likely to go unrecorded. Naming the specific events that MUST produce an entry takes the question out of the moment, and makes sure uncomfortable learnings are captured rather than quietly dropped.</w:t>
      </w:r>
    </w:p>
    <w:p>
      <w:pPr>
        <w:pStyle w:val="BlockText"/>
      </w:pPr>
      <w:r>
        <w:rPr>
          <w:b/>
          <w:bCs/>
        </w:rPr>
        <w:t xml:space="preserve">Instructions — How to fill this in</w:t>
      </w:r>
    </w:p>
    <w:p>
      <w:pPr>
        <w:pStyle w:val="BlockText"/>
      </w:pPr>
      <w:r>
        <w:t xml:space="preserve">List the specific events that obligate a Learning Log entry. State who owns the log and the synthesis cadence.</w:t>
      </w:r>
    </w:p>
    <w:p>
      <w:pPr>
        <w:pStyle w:val="FirstParagraph"/>
      </w:pPr>
      <w:r>
        <w:t xml:space="preserve">An entry MUST be added when any of the following occur:</w:t>
      </w:r>
    </w:p>
    <w:p>
      <w:pPr>
        <w:pStyle w:val="Compact"/>
        <w:numPr>
          <w:ilvl w:val="0"/>
          <w:numId w:val="1003"/>
        </w:numPr>
      </w:pPr>
      <w:r>
        <w:rPr>
          <w:i/>
          <w:iCs/>
        </w:rPr>
        <w:t xml:space="preserve">&lt;A governance decision is reversed, rolled back, or found to contradict another adopted rule.&gt;</w:t>
      </w:r>
    </w:p>
    <w:p>
      <w:pPr>
        <w:pStyle w:val="Compact"/>
        <w:numPr>
          <w:ilvl w:val="0"/>
          <w:numId w:val="1003"/>
        </w:numPr>
      </w:pPr>
      <w:r>
        <w:rPr>
          <w:i/>
          <w:iCs/>
        </w:rPr>
        <w:t xml:space="preserve">&lt;An experiment concludes (success, failure, or early termination).&gt;</w:t>
      </w:r>
    </w:p>
    <w:p>
      <w:pPr>
        <w:pStyle w:val="Compact"/>
        <w:numPr>
          <w:ilvl w:val="0"/>
          <w:numId w:val="1003"/>
        </w:numPr>
      </w:pPr>
    </w:p>
    <w:p>
      <w:pPr>
        <w:pStyle w:val="Compact"/>
        <w:numPr>
          <w:ilvl w:val="0"/>
          <w:numId w:val="1003"/>
        </w:numPr>
      </w:pPr>
      <w:r>
        <w:rPr>
          <w:i/>
          <w:iCs/>
        </w:rPr>
        <w:t xml:space="preserve">&lt;A structural or systemic failure is identified that caused harm, confusion, or repeated process breakdown.&gt;</w:t>
      </w:r>
    </w:p>
    <w:p>
      <w:pPr>
        <w:pStyle w:val="Compact"/>
        <w:numPr>
          <w:ilvl w:val="0"/>
          <w:numId w:val="1003"/>
        </w:numPr>
      </w:pPr>
    </w:p>
    <w:p>
      <w:pPr>
        <w:pStyle w:val="Compact"/>
        <w:numPr>
          <w:ilvl w:val="0"/>
          <w:numId w:val="1003"/>
        </w:numPr>
      </w:pPr>
    </w:p>
    <w:p>
      <w:pPr>
        <w:pStyle w:val="Compact"/>
        <w:numPr>
          <w:ilvl w:val="0"/>
          <w:numId w:val="1003"/>
        </w:numPr>
      </w:pPr>
    </w:p>
    <w:p>
      <w:pPr>
        <w:pStyle w:val="FirstParagraph"/>
      </w:pPr>
      <w:r>
        <w:rPr>
          <w:i/>
          <w:iCs/>
        </w:rPr>
        <w:t xml:space="preserve">&lt;Minor operational adjustments, routine decisions, and individual issues fully resolved at the early steps of the Conflict Resolution Ladder do not require a Learning Log entry.&gt;</w:t>
      </w:r>
    </w:p>
    <w:p>
      <w:pPr>
        <w:pStyle w:val="BodyText"/>
      </w:pPr>
      <w:r>
        <w:rPr>
          <w:b/>
          <w:bCs/>
        </w:rPr>
        <w:t xml:space="preserve">Ownership:</w:t>
      </w:r>
      <w:r>
        <w:t xml:space="preserve"> </w:t>
      </w:r>
    </w:p>
    <w:p>
      <w:pPr>
        <w:pStyle w:val="BodyText"/>
      </w:pPr>
      <w:r>
        <w:rPr>
          <w:b/>
          <w:bCs/>
        </w:rPr>
        <w:t xml:space="preserve">Synthesis cadence:</w:t>
      </w:r>
      <w:r>
        <w:t xml:space="preserve"> </w:t>
      </w:r>
      <w:r>
        <w:rPr>
          <w:i/>
          <w:iCs/>
        </w:rPr>
        <w:t xml:space="preserve">&lt;the Learning Log is reviewed at the Reflection &amp; Learning meeting; named role prepares a brief synthesis of entries since the last review, noting recurring patterns.&gt;</w:t>
      </w:r>
    </w:p>
    <w:p>
      <w:r>
        <w:pict>
          <v:rect style="width:0;height:1.5pt" o:hralign="center" o:hrstd="t" o:hr="t"/>
        </w:pict>
      </w:r>
    </w:p>
    <w:p>
      <w:pPr>
        <w:pStyle w:val="FirstParagraph"/>
      </w:pPr>
      <w:r>
        <w:rPr>
          <w:i/>
          <w:iCs/>
        </w:rPr>
        <w:t xml:space="preserve">No entries yet. First entry will be added when the first learnable event occurs.</w:t>
      </w:r>
    </w:p>
    <w:p>
      <w:r>
        <w:pict>
          <v:rect style="width:0;height:1.5pt" o:hralign="center" o:hrstd="t" o:hr="t"/>
        </w:pict>
      </w:r>
    </w:p>
    <w:bookmarkEnd w:id="17"/>
    <w:bookmarkStart w:id="18" w:name="entry-format"/>
    <w:p>
      <w:pPr>
        <w:pStyle w:val="Heading2"/>
      </w:pPr>
      <w:r>
        <w:t xml:space="preserve">Entry Format</w:t>
      </w:r>
    </w:p>
    <w:p>
      <w:pPr>
        <w:pStyle w:val="FirstParagraph"/>
      </w:pPr>
      <w:r>
        <w:rPr>
          <w:i/>
          <w:iCs/>
        </w:rPr>
        <w:t xml:space="preserve">RCOS clauses:</w:t>
      </w:r>
      <w:r>
        <w:rPr>
          <w:i/>
          <w:iCs/>
        </w:rPr>
        <w:t xml:space="preserve"> </w:t>
      </w:r>
      <w:hyperlink r:id="rId14">
        <w:r>
          <w:rPr>
            <w:rStyle w:val="Hyperlink"/>
            <w:i/>
            <w:iCs/>
          </w:rPr>
          <w:t xml:space="preserve">8.4.2</w:t>
        </w:r>
      </w:hyperlink>
      <w:r>
        <w:rPr>
          <w:i/>
          <w:iCs/>
        </w:rPr>
        <w:t xml:space="preserve">,</w:t>
      </w:r>
      <w:r>
        <w:rPr>
          <w:i/>
          <w:iCs/>
        </w:rPr>
        <w:t xml:space="preserve"> </w:t>
      </w:r>
      <w:hyperlink r:id="rId14">
        <w:r>
          <w:rPr>
            <w:rStyle w:val="Hyperlink"/>
            <w:i/>
            <w:iCs/>
          </w:rPr>
          <w:t xml:space="preserve">8.4.3</w:t>
        </w:r>
      </w:hyperlink>
      <w:r>
        <w:rPr>
          <w:i/>
          <w:iCs/>
        </w:rPr>
        <w:t xml:space="preserve">,</w:t>
      </w:r>
      <w:r>
        <w:rPr>
          <w:i/>
          <w:iCs/>
        </w:rPr>
        <w:t xml:space="preserve"> </w:t>
      </w:r>
      <w:hyperlink r:id="rId15">
        <w:r>
          <w:rPr>
            <w:rStyle w:val="Hyperlink"/>
            <w:i/>
            <w:iCs/>
          </w:rPr>
          <w:t xml:space="preserve">8.6.5</w:t>
        </w:r>
      </w:hyperlink>
    </w:p>
    <w:p>
      <w:pPr>
        <w:pStyle w:val="BlockText"/>
      </w:pPr>
      <w:r>
        <w:rPr>
          <w:b/>
          <w:bCs/>
        </w:rPr>
        <w:t xml:space="preserve">Rationale — Why a fixed entry template</w:t>
      </w:r>
    </w:p>
    <w:p>
      <w:pPr>
        <w:pStyle w:val="BlockText"/>
      </w:pPr>
      <w:r>
        <w:t xml:space="preserve">Free-form reflection is valuable, but it does not aggregate. A consistent schema — trigger, signals, what changed, outcome, follow-up owner — makes it possible to scan years of entries for recurring patterns and to turn isolated incidents into structural evidence. It also forces each entry to name an owner, so learning does not stop at</w:t>
      </w:r>
      <w:r>
        <w:t xml:space="preserve"> </w:t>
      </w:r>
      <w:r>
        <w:t xml:space="preserve">“we noticed.”</w:t>
      </w:r>
    </w:p>
    <w:p>
      <w:pPr>
        <w:pStyle w:val="BlockText"/>
      </w:pPr>
      <w:r>
        <w:rPr>
          <w:b/>
          <w:bCs/>
        </w:rPr>
        <w:t xml:space="preserve">Instructions — How to fill this in</w:t>
      </w:r>
    </w:p>
    <w:p>
      <w:pPr>
        <w:pStyle w:val="BlockText"/>
      </w:pPr>
      <w:r>
        <w:t xml:space="preserve">Use the template below for every entry. Each field forces a different lens on the event; do not skip the follow-up owner.</w:t>
      </w:r>
    </w:p>
    <w:p>
      <w:pPr>
        <w:pStyle w:val="SourceCode"/>
      </w:pPr>
      <w:r>
        <w:rPr>
          <w:rStyle w:val="FunctionTok"/>
        </w:rPr>
        <w:t xml:space="preserve">## &lt;YYYY-MM-DD&gt; — &lt;Short title&gt;</w:t>
      </w:r>
      <w:r>
        <w:br/>
      </w:r>
      <w:r>
        <w:br/>
      </w:r>
      <w:r>
        <w:rPr>
          <w:rStyle w:val="SpecialStringTok"/>
        </w:rPr>
        <w:t xml:space="preserve">- </w:t>
      </w:r>
      <w:r>
        <w:rPr>
          <w:rStyle w:val="NormalTok"/>
        </w:rPr>
        <w:t xml:space="preserve">**Trigger:** </w:t>
      </w:r>
      <w:r>
        <w:rPr>
          <w:rStyle w:val="DataTypeTok"/>
        </w:rPr>
        <w:t xml:space="preserve">&lt;</w:t>
      </w:r>
      <w:r>
        <w:rPr>
          <w:rStyle w:val="KeywordTok"/>
        </w:rPr>
        <w:t xml:space="preserve">What</w:t>
      </w:r>
      <w:r>
        <w:rPr>
          <w:rStyle w:val="OtherTok"/>
        </w:rPr>
        <w:t xml:space="preserve"> happened that prompted this entry</w:t>
      </w:r>
      <w:r>
        <w:rPr>
          <w:rStyle w:val="DataTypeTok"/>
        </w:rPr>
        <w:t xml:space="preserve">&gt;</w:t>
      </w:r>
      <w:r>
        <w:br/>
      </w:r>
      <w:r>
        <w:rPr>
          <w:rStyle w:val="SpecialStringTok"/>
        </w:rPr>
        <w:t xml:space="preserve">- </w:t>
      </w:r>
      <w:r>
        <w:rPr>
          <w:rStyle w:val="NormalTok"/>
        </w:rPr>
        <w:t xml:space="preserve">**Layers/artifacts implicated:** </w:t>
      </w:r>
      <w:r>
        <w:rPr>
          <w:rStyle w:val="DataTypeTok"/>
        </w:rPr>
        <w:t xml:space="preserve">&lt;</w:t>
      </w:r>
      <w:r>
        <w:rPr>
          <w:rStyle w:val="KeywordTok"/>
        </w:rPr>
        <w:t xml:space="preserve">e.g.</w:t>
      </w:r>
      <w:r>
        <w:rPr>
          <w:rStyle w:val="OtherTok"/>
        </w:rPr>
        <w:t xml:space="preserve"> Layer </w:t>
      </w:r>
      <w:r>
        <w:rPr>
          <w:rStyle w:val="ErrorTok"/>
        </w:rPr>
        <w:t xml:space="preserve">2</w:t>
      </w:r>
      <w:r>
        <w:rPr>
          <w:rStyle w:val="OtherTok"/>
        </w:rPr>
        <w:t xml:space="preserve"> </w:t>
      </w:r>
      <w:r>
        <w:rPr>
          <w:rStyle w:val="ErrorTok"/>
        </w:rPr>
        <w:t xml:space="preserve">—</w:t>
      </w:r>
      <w:r>
        <w:rPr>
          <w:rStyle w:val="OtherTok"/>
        </w:rPr>
        <w:t xml:space="preserve"> Governance Protocol</w:t>
      </w:r>
      <w:r>
        <w:rPr>
          <w:rStyle w:val="DataTypeTok"/>
        </w:rPr>
        <w:t xml:space="preserve">&gt;</w:t>
      </w:r>
      <w:r>
        <w:br/>
      </w:r>
      <w:r>
        <w:rPr>
          <w:rStyle w:val="SpecialStringTok"/>
        </w:rPr>
        <w:t xml:space="preserve">- </w:t>
      </w:r>
      <w:r>
        <w:rPr>
          <w:rStyle w:val="NormalTok"/>
        </w:rPr>
        <w:t xml:space="preserve">**What occurred:** </w:t>
      </w:r>
      <w:r>
        <w:rPr>
          <w:rStyle w:val="DataTypeTok"/>
        </w:rPr>
        <w:t xml:space="preserve">&lt;</w:t>
      </w:r>
      <w:r>
        <w:rPr>
          <w:rStyle w:val="KeywordTok"/>
        </w:rPr>
        <w:t xml:space="preserve">Short</w:t>
      </w:r>
      <w:r>
        <w:rPr>
          <w:rStyle w:val="OtherTok"/>
        </w:rPr>
        <w:t xml:space="preserve"> narrative</w:t>
      </w:r>
      <w:r>
        <w:rPr>
          <w:rStyle w:val="DataTypeTok"/>
        </w:rPr>
        <w:t xml:space="preserve">&gt;</w:t>
      </w:r>
      <w:r>
        <w:br/>
      </w:r>
      <w:r>
        <w:rPr>
          <w:rStyle w:val="SpecialStringTok"/>
        </w:rPr>
        <w:t xml:space="preserve">- </w:t>
      </w:r>
      <w:r>
        <w:rPr>
          <w:rStyle w:val="NormalTok"/>
        </w:rPr>
        <w:t xml:space="preserve">**Signals that triggered action:** </w:t>
      </w:r>
      <w:r>
        <w:rPr>
          <w:rStyle w:val="DataTypeTok"/>
        </w:rPr>
        <w:t xml:space="preserve">&lt;</w:t>
      </w:r>
      <w:r>
        <w:rPr>
          <w:rStyle w:val="KeywordTok"/>
        </w:rPr>
        <w:t xml:space="preserve">What</w:t>
      </w:r>
      <w:r>
        <w:rPr>
          <w:rStyle w:val="OtherTok"/>
        </w:rPr>
        <w:t xml:space="preserve"> made this visible as a problem</w:t>
      </w:r>
      <w:r>
        <w:rPr>
          <w:rStyle w:val="DataTypeTok"/>
        </w:rPr>
        <w:t xml:space="preserve">&gt;</w:t>
      </w:r>
      <w:r>
        <w:br/>
      </w:r>
      <w:r>
        <w:rPr>
          <w:rStyle w:val="SpecialStringTok"/>
        </w:rPr>
        <w:t xml:space="preserve">- </w:t>
      </w:r>
      <w:r>
        <w:rPr>
          <w:rStyle w:val="NormalTok"/>
        </w:rPr>
        <w:t xml:space="preserve">**What changed or was tried:** &lt;Decision, experiment, or rule change&gt;</w:t>
      </w:r>
      <w:r>
        <w:br/>
      </w:r>
      <w:r>
        <w:rPr>
          <w:rStyle w:val="SpecialStringTok"/>
        </w:rPr>
        <w:t xml:space="preserve">- </w:t>
      </w:r>
      <w:r>
        <w:rPr>
          <w:rStyle w:val="NormalTok"/>
        </w:rPr>
        <w:t xml:space="preserve">**Outcome:** </w:t>
      </w:r>
      <w:r>
        <w:rPr>
          <w:rStyle w:val="DataTypeTok"/>
        </w:rPr>
        <w:t xml:space="preserve">&lt;</w:t>
      </w:r>
      <w:r>
        <w:rPr>
          <w:rStyle w:val="KeywordTok"/>
        </w:rPr>
        <w:t xml:space="preserve">Result</w:t>
      </w:r>
      <w:r>
        <w:rPr>
          <w:rStyle w:val="OtherTok"/>
        </w:rPr>
        <w:t xml:space="preserve"> after review</w:t>
      </w:r>
      <w:r>
        <w:rPr>
          <w:rStyle w:val="ErrorTok"/>
        </w:rPr>
        <w:t xml:space="preserve">,</w:t>
      </w:r>
      <w:r>
        <w:rPr>
          <w:rStyle w:val="OtherTok"/>
        </w:rPr>
        <w:t xml:space="preserve"> if known</w:t>
      </w:r>
      <w:r>
        <w:rPr>
          <w:rStyle w:val="DataTypeTok"/>
        </w:rPr>
        <w:t xml:space="preserve">&gt;</w:t>
      </w:r>
      <w:r>
        <w:br/>
      </w:r>
      <w:r>
        <w:rPr>
          <w:rStyle w:val="SpecialStringTok"/>
        </w:rPr>
        <w:t xml:space="preserve">- </w:t>
      </w:r>
      <w:r>
        <w:rPr>
          <w:rStyle w:val="NormalTok"/>
        </w:rPr>
        <w:t xml:space="preserve">**Follow-up owner and due date:** </w:t>
      </w:r>
      <w:r>
        <w:rPr>
          <w:rStyle w:val="DataTypeTok"/>
        </w:rPr>
        <w:t xml:space="preserve">&lt;</w:t>
      </w:r>
      <w:r>
        <w:rPr>
          <w:rStyle w:val="KeywordTok"/>
        </w:rPr>
        <w:t xml:space="preserve">Name</w:t>
      </w:r>
      <w:r>
        <w:rPr>
          <w:rStyle w:val="OtherTok"/>
        </w:rPr>
        <w:t xml:space="preserve"> </w:t>
      </w:r>
      <w:r>
        <w:rPr>
          <w:rStyle w:val="ErrorTok"/>
        </w:rPr>
        <w:t xml:space="preserve">/</w:t>
      </w:r>
      <w:r>
        <w:rPr>
          <w:rStyle w:val="OtherTok"/>
        </w:rPr>
        <w:t xml:space="preserve"> role and date</w:t>
      </w:r>
      <w:r>
        <w:rPr>
          <w:rStyle w:val="ErrorTok"/>
        </w:rPr>
        <w:t xml:space="preserve">,</w:t>
      </w:r>
      <w:r>
        <w:rPr>
          <w:rStyle w:val="OtherTok"/>
        </w:rPr>
        <w:t xml:space="preserve"> or </w:t>
      </w:r>
      <w:r>
        <w:rPr>
          <w:rStyle w:val="ErrorTok"/>
        </w:rPr>
        <w:t xml:space="preserve">"</w:t>
      </w:r>
      <w:r>
        <w:rPr>
          <w:rStyle w:val="OtherTok"/>
        </w:rPr>
        <w:t xml:space="preserve">none</w:t>
      </w:r>
      <w:r>
        <w:rPr>
          <w:rStyle w:val="ErrorTok"/>
        </w:rPr>
        <w:t xml:space="preserve">"</w:t>
      </w:r>
      <w:r>
        <w:rPr>
          <w:rStyle w:val="DataTypeTok"/>
        </w:rPr>
        <w:t xml:space="preserve">&gt;</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articles/rcos-core/v0-1/layer-6-evolution-adaptation#84-learning-and-feedback-capture" TargetMode="External" /><Relationship Type="http://schemas.openxmlformats.org/officeDocument/2006/relationships/hyperlink" Id="rId15" Target="https://blueprint.ecohubs.community/articles/rcos-core/v0-1/layer-6-evolution-adaptation#86-artifacts" TargetMode="External" /><Relationship Type="http://schemas.openxmlformats.org/officeDocument/2006/relationships/hyperlink" Id="rId16" Target="https://blueprint.ecohubs.community/articles/rcos-core/v0-1/layer-6-evolution-adaptation#87-layer-invarian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6/learning-log"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articles/rcos-core/v0-1/layer-6-evolution-adaptation#84-learning-and-feedback-capture" TargetMode="External" /><Relationship Type="http://schemas.openxmlformats.org/officeDocument/2006/relationships/hyperlink" Id="rId15" Target="https://blueprint.ecohubs.community/articles/rcos-core/v0-1/layer-6-evolution-adaptation#86-artifacts" TargetMode="External" /><Relationship Type="http://schemas.openxmlformats.org/officeDocument/2006/relationships/hyperlink" Id="rId16" Target="https://blueprint.ecohubs.community/articles/rcos-core/v0-1/layer-6-evolution-adaptation#87-layer-invarian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6/learning-lo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2026-04-29T01:58:16Z</dcterms:created>
  <dcterms:modified xsi:type="dcterms:W3CDTF">2026-04-29T01:58:16Z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Learning Log</vt:lpwstr>
  </property>
</Properties>
</file>