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experiment-template"/>
    <w:p>
      <w:pPr>
        <w:pStyle w:val="Heading1"/>
      </w:pPr>
      <w:r>
        <w:t xml:space="preserve">Experiment Template</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https://blueprint.ecohubs.community/articles/rcos-templates/layer-6/experiment-template</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6 — Evolution &amp; Adaptation</w:t>
      </w:r>
    </w:p>
    <w:p>
      <w:pPr>
        <w:pStyle w:val="Compact"/>
        <w:numPr>
          <w:ilvl w:val="0"/>
          <w:numId w:val="1002"/>
        </w:numPr>
      </w:pPr>
      <w:r>
        <w:rPr>
          <w:b/>
          <w:bCs/>
        </w:rPr>
        <w:t xml:space="preserve">Status:</w:t>
      </w:r>
      <w:r>
        <w:t xml:space="preserve"> </w:t>
      </w:r>
      <w:r>
        <w:t xml:space="preserve">Template — use to propose a time-bounded experiment</w:t>
      </w:r>
    </w:p>
    <w:p>
      <w:pPr>
        <w:pStyle w:val="Compact"/>
        <w:numPr>
          <w:ilvl w:val="0"/>
          <w:numId w:val="1002"/>
        </w:numPr>
      </w:pPr>
      <w:r>
        <w:rPr>
          <w:b/>
          <w:bCs/>
        </w:rPr>
        <w:t xml:space="preserve">RCOS reference:</w:t>
      </w:r>
      <w:r>
        <w:t xml:space="preserve"> </w:t>
      </w:r>
      <w:hyperlink r:id="rId14">
        <w:r>
          <w:rPr>
            <w:rStyle w:val="Hyperlink"/>
          </w:rPr>
          <w:t xml:space="preserve">§8.3</w:t>
        </w:r>
      </w:hyperlink>
      <w:r>
        <w:t xml:space="preserve">,</w:t>
      </w:r>
      <w:r>
        <w:t xml:space="preserve"> </w:t>
      </w:r>
      <w:hyperlink r:id="rId15">
        <w:r>
          <w:rPr>
            <w:rStyle w:val="Hyperlink"/>
          </w:rPr>
          <w:t xml:space="preserve">§8.7</w:t>
        </w:r>
      </w:hyperlink>
    </w:p>
    <w:p>
      <w:pPr>
        <w:pStyle w:val="BlockText"/>
      </w:pPr>
      <w:r>
        <w:t xml:space="preserve">Experiments let the community try a change without permanently adopting it. To stay safe, every experiment must be time-bounded, labeled, and auto-expiring — and must record its results in the Learning Log.</w:t>
      </w:r>
    </w:p>
    <w:p>
      <w:r>
        <w:pict>
          <v:rect style="width:0;height:1.5pt" o:hralign="center" o:hrstd="t" o:hr="t"/>
        </w:pict>
      </w:r>
    </w:p>
    <w:bookmarkStart w:id="16" w:name="required-fields"/>
    <w:p>
      <w:pPr>
        <w:pStyle w:val="Heading2"/>
      </w:pPr>
      <w:r>
        <w:t xml:space="preserve">Required Fields</w:t>
      </w:r>
    </w:p>
    <w:p>
      <w:pPr>
        <w:pStyle w:val="FirstParagraph"/>
      </w:pPr>
      <w:r>
        <w:rPr>
          <w:i/>
          <w:iCs/>
        </w:rPr>
        <w:t xml:space="preserve">RCOS clauses:</w:t>
      </w:r>
      <w:r>
        <w:rPr>
          <w:i/>
          <w:iCs/>
        </w:rPr>
        <w:t xml:space="preserve"> </w:t>
      </w:r>
      <w:hyperlink r:id="rId14">
        <w:r>
          <w:rPr>
            <w:rStyle w:val="Hyperlink"/>
            <w:i/>
            <w:iCs/>
          </w:rPr>
          <w:t xml:space="preserve">8.3.1</w:t>
        </w:r>
      </w:hyperlink>
      <w:r>
        <w:rPr>
          <w:i/>
          <w:iCs/>
        </w:rPr>
        <w:t xml:space="preserve">,</w:t>
      </w:r>
      <w:r>
        <w:rPr>
          <w:i/>
          <w:iCs/>
        </w:rPr>
        <w:t xml:space="preserve"> </w:t>
      </w:r>
      <w:hyperlink r:id="rId14">
        <w:r>
          <w:rPr>
            <w:rStyle w:val="Hyperlink"/>
            <w:i/>
            <w:iCs/>
          </w:rPr>
          <w:t xml:space="preserve">8.3.2</w:t>
        </w:r>
      </w:hyperlink>
      <w:r>
        <w:rPr>
          <w:i/>
          <w:iCs/>
        </w:rPr>
        <w:t xml:space="preserve">,</w:t>
      </w:r>
      <w:r>
        <w:rPr>
          <w:i/>
          <w:iCs/>
        </w:rPr>
        <w:t xml:space="preserve"> </w:t>
      </w:r>
      <w:hyperlink r:id="rId14">
        <w:r>
          <w:rPr>
            <w:rStyle w:val="Hyperlink"/>
            <w:i/>
            <w:iCs/>
          </w:rPr>
          <w:t xml:space="preserve">8.3.3</w:t>
        </w:r>
      </w:hyperlink>
      <w:r>
        <w:rPr>
          <w:i/>
          <w:iCs/>
        </w:rPr>
        <w:t xml:space="preserve">,</w:t>
      </w:r>
      <w:r>
        <w:rPr>
          <w:i/>
          <w:iCs/>
        </w:rPr>
        <w:t xml:space="preserve"> </w:t>
      </w:r>
      <w:hyperlink r:id="rId14">
        <w:r>
          <w:rPr>
            <w:rStyle w:val="Hyperlink"/>
            <w:i/>
            <w:iCs/>
          </w:rPr>
          <w:t xml:space="preserve">8.3.4</w:t>
        </w:r>
      </w:hyperlink>
      <w:r>
        <w:rPr>
          <w:i/>
          <w:iCs/>
        </w:rPr>
        <w:t xml:space="preserve">,</w:t>
      </w:r>
      <w:r>
        <w:rPr>
          <w:i/>
          <w:iCs/>
        </w:rPr>
        <w:t xml:space="preserve"> </w:t>
      </w:r>
      <w:hyperlink r:id="rId14">
        <w:r>
          <w:rPr>
            <w:rStyle w:val="Hyperlink"/>
            <w:i/>
            <w:iCs/>
          </w:rPr>
          <w:t xml:space="preserve">8.3.5</w:t>
        </w:r>
      </w:hyperlink>
      <w:r>
        <w:rPr>
          <w:i/>
          <w:iCs/>
        </w:rPr>
        <w:t xml:space="preserve">,</w:t>
      </w:r>
      <w:r>
        <w:rPr>
          <w:i/>
          <w:iCs/>
        </w:rPr>
        <w:t xml:space="preserve"> </w:t>
      </w:r>
      <w:hyperlink r:id="rId15">
        <w:r>
          <w:rPr>
            <w:rStyle w:val="Hyperlink"/>
            <w:i/>
            <w:iCs/>
          </w:rPr>
          <w:t xml:space="preserve">8.7.3</w:t>
        </w:r>
      </w:hyperlink>
    </w:p>
    <w:p>
      <w:pPr>
        <w:pStyle w:val="BlockText"/>
      </w:pPr>
      <w:r>
        <w:rPr>
          <w:b/>
          <w:bCs/>
        </w:rPr>
        <w:t xml:space="preserve">Rationale — Why require these fields</w:t>
      </w:r>
    </w:p>
    <w:p>
      <w:pPr>
        <w:pStyle w:val="BlockText"/>
      </w:pPr>
      <w:r>
        <w:t xml:space="preserve">Without scope, duration, success criteria, and rollback, an</w:t>
      </w:r>
      <w:r>
        <w:t xml:space="preserve"> </w:t>
      </w:r>
      <w:r>
        <w:t xml:space="preserve">“experiment”</w:t>
      </w:r>
      <w:r>
        <w:t xml:space="preserve"> </w:t>
      </w:r>
      <w:r>
        <w:t xml:space="preserve">is just a permanent change with friendlier branding. Forcing every proposal to specify what it changes, when it ends, how it will be reviewed, and how it will be rolled back keeps experimentation reversible — and prevents the experiment label from being used to bypass deliberation.</w:t>
      </w:r>
    </w:p>
    <w:p>
      <w:pPr>
        <w:pStyle w:val="BlockText"/>
      </w:pPr>
      <w:r>
        <w:rPr>
          <w:b/>
          <w:bCs/>
        </w:rPr>
        <w:t xml:space="preserve">Instructions — How to fill this in</w:t>
      </w:r>
    </w:p>
    <w:p>
      <w:pPr>
        <w:pStyle w:val="BlockText"/>
      </w:pPr>
      <w:r>
        <w:t xml:space="preserve">Fill each field. Maximum duration is set by your Change Protocol. The decision authority must come from the Decision Matrix.</w:t>
      </w:r>
    </w:p>
    <w:p>
      <w:pPr>
        <w:pStyle w:val="Compact"/>
        <w:numPr>
          <w:ilvl w:val="0"/>
          <w:numId w:val="1003"/>
        </w:numPr>
      </w:pPr>
      <w:r>
        <w:rPr>
          <w:b/>
          <w:bCs/>
        </w:rPr>
        <w:t xml:space="preserve">Title:</w:t>
      </w:r>
      <w:r>
        <w:t xml:space="preserve"> </w:t>
      </w:r>
    </w:p>
    <w:p>
      <w:pPr>
        <w:pStyle w:val="Compact"/>
        <w:numPr>
          <w:ilvl w:val="0"/>
          <w:numId w:val="1003"/>
        </w:numPr>
      </w:pPr>
      <w:r>
        <w:rPr>
          <w:b/>
          <w:bCs/>
        </w:rPr>
        <w:t xml:space="preserve">Proposer:</w:t>
      </w:r>
      <w:r>
        <w:t xml:space="preserve"> </w:t>
      </w:r>
    </w:p>
    <w:p>
      <w:pPr>
        <w:pStyle w:val="Compact"/>
        <w:numPr>
          <w:ilvl w:val="0"/>
          <w:numId w:val="1003"/>
        </w:numPr>
      </w:pPr>
      <w:r>
        <w:rPr>
          <w:b/>
          <w:bCs/>
        </w:rPr>
        <w:t xml:space="preserve">Decision type:</w:t>
      </w:r>
      <w:r>
        <w:t xml:space="preserve"> </w:t>
      </w:r>
      <w:r>
        <w:t xml:space="preserve">Strategic</w:t>
      </w:r>
    </w:p>
    <w:p>
      <w:pPr>
        <w:pStyle w:val="Compact"/>
        <w:numPr>
          <w:ilvl w:val="0"/>
          <w:numId w:val="1003"/>
        </w:numPr>
      </w:pPr>
      <w:r>
        <w:rPr>
          <w:b/>
          <w:bCs/>
        </w:rPr>
        <w:t xml:space="preserve">Scope:</w:t>
      </w:r>
      <w:r>
        <w:t xml:space="preserve"> </w:t>
      </w:r>
      <w:r>
        <w:rPr>
          <w:i/>
          <w:iCs/>
        </w:rPr>
        <w:t xml:space="preserve">&lt;exactly what is being tried; which artifacts and behaviors are affected.&gt;</w:t>
      </w:r>
    </w:p>
    <w:p>
      <w:pPr>
        <w:pStyle w:val="Compact"/>
        <w:numPr>
          <w:ilvl w:val="0"/>
          <w:numId w:val="1003"/>
        </w:numPr>
      </w:pPr>
      <w:r>
        <w:rPr>
          <w:b/>
          <w:bCs/>
        </w:rPr>
        <w:t xml:space="preserve">Duration:</w:t>
      </w:r>
      <w:r>
        <w:t xml:space="preserve"> </w:t>
      </w:r>
      <w:r>
        <w:rPr>
          <w:i/>
          <w:iCs/>
        </w:rPr>
        <w:t xml:space="preserve">&lt;start date — end date; maximum duration as set by the Change Protocol.&gt;</w:t>
      </w:r>
    </w:p>
    <w:p>
      <w:pPr>
        <w:pStyle w:val="Compact"/>
        <w:numPr>
          <w:ilvl w:val="0"/>
          <w:numId w:val="1003"/>
        </w:numPr>
      </w:pPr>
      <w:r>
        <w:rPr>
          <w:b/>
          <w:bCs/>
        </w:rPr>
        <w:t xml:space="preserve">Review checkpoints:</w:t>
      </w:r>
      <w:r>
        <w:t xml:space="preserve"> </w:t>
      </w:r>
      <w:r>
        <w:rPr>
          <w:i/>
          <w:iCs/>
        </w:rPr>
        <w:t xml:space="preserve">&lt;at minimum one midpoint check-in; specify dates and what is reviewed.&gt;</w:t>
      </w:r>
    </w:p>
    <w:p>
      <w:pPr>
        <w:pStyle w:val="Compact"/>
        <w:numPr>
          <w:ilvl w:val="0"/>
          <w:numId w:val="1003"/>
        </w:numPr>
      </w:pPr>
      <w:r>
        <w:rPr>
          <w:b/>
          <w:bCs/>
        </w:rPr>
        <w:t xml:space="preserve">Success criteria:</w:t>
      </w:r>
      <w:r>
        <w:t xml:space="preserve"> </w:t>
      </w:r>
    </w:p>
    <w:p>
      <w:pPr>
        <w:pStyle w:val="Compact"/>
        <w:numPr>
          <w:ilvl w:val="0"/>
          <w:numId w:val="1003"/>
        </w:numPr>
      </w:pPr>
      <w:r>
        <w:rPr>
          <w:b/>
          <w:bCs/>
        </w:rPr>
        <w:t xml:space="preserve">Failure criteria:</w:t>
      </w:r>
      <w:r>
        <w:t xml:space="preserve"> </w:t>
      </w:r>
    </w:p>
    <w:p>
      <w:pPr>
        <w:pStyle w:val="Compact"/>
        <w:numPr>
          <w:ilvl w:val="0"/>
          <w:numId w:val="1003"/>
        </w:numPr>
      </w:pPr>
      <w:r>
        <w:rPr>
          <w:b/>
          <w:bCs/>
        </w:rPr>
        <w:t xml:space="preserve">Rollback conditions and process:</w:t>
      </w:r>
      <w:r>
        <w:t xml:space="preserve"> </w:t>
      </w:r>
    </w:p>
    <w:p>
      <w:pPr>
        <w:pStyle w:val="Compact"/>
        <w:numPr>
          <w:ilvl w:val="0"/>
          <w:numId w:val="1003"/>
        </w:numPr>
      </w:pPr>
      <w:r>
        <w:rPr>
          <w:b/>
          <w:bCs/>
        </w:rPr>
        <w:t xml:space="preserve">Authorized decision path:</w:t>
      </w:r>
      <w:r>
        <w:t xml:space="preserve"> </w:t>
      </w:r>
      <w:r>
        <w:rPr>
          <w:i/>
          <w:iCs/>
        </w:rPr>
        <w:t xml:space="preserve">&lt;who may start, extend, modify, or terminate the experiment, per the Decision Matrix.&gt;</w:t>
      </w:r>
    </w:p>
    <w:p>
      <w:pPr>
        <w:pStyle w:val="Compact"/>
        <w:numPr>
          <w:ilvl w:val="0"/>
          <w:numId w:val="1003"/>
        </w:numPr>
      </w:pPr>
      <w:r>
        <w:rPr>
          <w:b/>
          <w:bCs/>
        </w:rPr>
        <w:t xml:space="preserve">Labelling:</w:t>
      </w:r>
      <w:r>
        <w:t xml:space="preserve"> </w:t>
      </w:r>
    </w:p>
    <w:p>
      <w:pPr>
        <w:pStyle w:val="Compact"/>
        <w:numPr>
          <w:ilvl w:val="0"/>
          <w:numId w:val="1003"/>
        </w:numPr>
      </w:pPr>
      <w:r>
        <w:rPr>
          <w:b/>
          <w:bCs/>
        </w:rPr>
        <w:t xml:space="preserve">Safety suspension:</w:t>
      </w:r>
      <w:r>
        <w:t xml:space="preserve"> </w:t>
      </w:r>
    </w:p>
    <w:bookmarkEnd w:id="16"/>
    <w:bookmarkStart w:id="17" w:name="expiry-and-renewal"/>
    <w:p>
      <w:pPr>
        <w:pStyle w:val="Heading2"/>
      </w:pPr>
      <w:r>
        <w:t xml:space="preserve">Expiry and Renewal</w:t>
      </w:r>
    </w:p>
    <w:p>
      <w:pPr>
        <w:pStyle w:val="BlockText"/>
      </w:pPr>
      <w:r>
        <w:rPr>
          <w:b/>
          <w:bCs/>
        </w:rPr>
        <w:t xml:space="preserve">Rationale — Why must experiments expire</w:t>
      </w:r>
    </w:p>
    <w:p>
      <w:pPr>
        <w:pStyle w:val="BlockText"/>
      </w:pPr>
      <w:r>
        <w:t xml:space="preserve">The community needs the option to revert. Auto-expiry forces a deliberate decision to make the change permanent — not a slow drift in which nobody remembers it was ever conditional.</w:t>
      </w:r>
    </w:p>
    <w:p>
      <w:pPr>
        <w:pStyle w:val="BlockText"/>
      </w:pPr>
      <w:r>
        <w:rPr>
          <w:b/>
          <w:bCs/>
        </w:rPr>
        <w:t xml:space="preserve">Instructions — How to fill this in</w:t>
      </w:r>
    </w:p>
    <w:p>
      <w:pPr>
        <w:pStyle w:val="BlockText"/>
      </w:pPr>
      <w:r>
        <w:t xml:space="preserve">State the auto-expiry rule, the renewal mechanism, and the obligation to record results in the Learning Log.</w:t>
      </w:r>
    </w:p>
    <w:p>
      <w:pPr>
        <w:pStyle w:val="Compact"/>
        <w:numPr>
          <w:ilvl w:val="0"/>
          <w:numId w:val="1004"/>
        </w:numPr>
      </w:pPr>
    </w:p>
    <w:p>
      <w:pPr>
        <w:pStyle w:val="Compact"/>
        <w:numPr>
          <w:ilvl w:val="0"/>
          <w:numId w:val="1004"/>
        </w:numPr>
      </w:pPr>
    </w:p>
    <w:p>
      <w:r>
        <w:pict>
          <v:rect style="width:0;height:1.5pt" o:hralign="center" o:hrstd="t" o:hr="t"/>
        </w:pict>
      </w:r>
    </w:p>
    <w:bookmarkEnd w:id="17"/>
    <w:bookmarkStart w:id="18" w:name="X4f82dc922edacc8ffa9229b477de6d9ee23c847"/>
    <w:p>
      <w:pPr>
        <w:pStyle w:val="Heading2"/>
      </w:pPr>
      <w:r>
        <w:t xml:space="preserve">Outcome Record (filled in at experiment end)</w:t>
      </w:r>
    </w:p>
    <w:p>
      <w:pPr>
        <w:pStyle w:val="Compact"/>
        <w:numPr>
          <w:ilvl w:val="0"/>
          <w:numId w:val="1005"/>
        </w:numPr>
      </w:pPr>
      <w:r>
        <w:rPr>
          <w:b/>
          <w:bCs/>
        </w:rPr>
        <w:t xml:space="preserve">End date:</w:t>
      </w:r>
    </w:p>
    <w:p>
      <w:pPr>
        <w:pStyle w:val="Compact"/>
        <w:numPr>
          <w:ilvl w:val="0"/>
          <w:numId w:val="1005"/>
        </w:numPr>
      </w:pPr>
      <w:r>
        <w:rPr>
          <w:b/>
          <w:bCs/>
        </w:rPr>
        <w:t xml:space="preserve">Outcome:</w:t>
      </w:r>
      <w:r>
        <w:t xml:space="preserve"> </w:t>
      </w:r>
      <w:r>
        <w:rPr>
          <w:i/>
          <w:iCs/>
        </w:rPr>
        <w:t xml:space="preserve">&lt;Adopted permanently / Rolled back / Modified and re-run / Terminated early&gt;</w:t>
      </w:r>
    </w:p>
    <w:p>
      <w:pPr>
        <w:pStyle w:val="Compact"/>
        <w:numPr>
          <w:ilvl w:val="0"/>
          <w:numId w:val="1005"/>
        </w:numPr>
      </w:pPr>
      <w:r>
        <w:rPr>
          <w:b/>
          <w:bCs/>
        </w:rPr>
        <w:t xml:space="preserve">Decision record:</w:t>
      </w:r>
      <w:r>
        <w:t xml:space="preserve"> </w:t>
      </w:r>
    </w:p>
    <w:p>
      <w:pPr>
        <w:pStyle w:val="Compact"/>
        <w:numPr>
          <w:ilvl w:val="0"/>
          <w:numId w:val="1005"/>
        </w:numPr>
      </w:pPr>
      <w:r>
        <w:rPr>
          <w:b/>
          <w:bCs/>
        </w:rPr>
        <w:t xml:space="preserve">Learning Log entry:</w:t>
      </w:r>
      <w:r>
        <w:t xml:space="preserve"> </w:t>
      </w:r>
    </w:p>
    <w:p>
      <w:pPr>
        <w:pStyle w:val="Compact"/>
        <w:numPr>
          <w:ilvl w:val="0"/>
          <w:numId w:val="1005"/>
        </w:numPr>
      </w:pPr>
      <w:r>
        <w:rPr>
          <w:b/>
          <w:bCs/>
        </w:rPr>
        <w:t xml:space="preserve">Summary:</w:t>
      </w:r>
      <w:r>
        <w:t xml:space="preserve"> </w:t>
      </w:r>
      <w:r>
        <w:rPr>
          <w:i/>
          <w:iCs/>
        </w:rPr>
        <w:t xml:space="preserve">&lt;two to four sentences on what was tried, what was observed, and what was decided.&gt;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6-evolution-adaptation#83-experiments" TargetMode="External" /><Relationship Type="http://schemas.openxmlformats.org/officeDocument/2006/relationships/hyperlink" Id="rId15"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experiment-template"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6-evolution-adaptation#83-experiments" TargetMode="External" /><Relationship Type="http://schemas.openxmlformats.org/officeDocument/2006/relationships/hyperlink" Id="rId15"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experiment-templ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Experiment Template</vt:lpwstr>
  </property>
</Properties>
</file>