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9.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609600" cy="609600"/>
            <wp:effectExtent b="0" l="0" r="0" t="0"/>
            <wp:docPr descr="RCOS" title="" id="10" name="Picture"/>
            <a:graphic>
              <a:graphicData uri="http://schemas.openxmlformats.org/drawingml/2006/picture">
                <pic:pic>
                  <pic:nvPicPr>
                    <pic:cNvPr descr="/Users/el_stefano/Documents/Development/svelte/regenerative-community-blueprint/scripts/logo.png" id="11" name="Picture"/>
                    <pic:cNvPicPr>
                      <a:picLocks noChangeArrowheads="1" noChangeAspect="1"/>
                    </pic:cNvPicPr>
                  </pic:nvPicPr>
                  <pic:blipFill>
                    <a:blip r:embed="rId9"/>
                    <a:stretch>
                      <a:fillRect/>
                    </a:stretch>
                  </pic:blipFill>
                  <pic:spPr bwMode="auto">
                    <a:xfrm>
                      <a:off x="0" y="0"/>
                      <a:ext cx="609600" cy="609600"/>
                    </a:xfrm>
                    <a:prstGeom prst="rect">
                      <a:avLst/>
                    </a:prstGeom>
                    <a:noFill/>
                    <a:ln w="9525">
                      <a:noFill/>
                      <a:headEnd/>
                      <a:tailEnd/>
                    </a:ln>
                  </pic:spPr>
                </pic:pic>
              </a:graphicData>
            </a:graphic>
          </wp:inline>
        </w:drawing>
      </w:r>
      <w:r>
        <w:t xml:space="preserve"> </w:t>
      </w:r>
      <w:r>
        <w:rPr>
          <w:b/>
          <w:bCs/>
        </w:rPr>
        <w:t xml:space="preserve">RCOS — Regenerative Community Operating System</w:t>
      </w:r>
    </w:p>
    <w:bookmarkStart w:id="28" w:name="operations-manual"/>
    <w:p>
      <w:pPr>
        <w:pStyle w:val="Heading1"/>
      </w:pPr>
      <w:r>
        <w:t xml:space="preserve">Operations Manual</w:t>
      </w:r>
    </w:p>
    <w:p>
      <w:pPr>
        <w:pStyle w:val="Compact"/>
        <w:numPr>
          <w:ilvl w:val="0"/>
          <w:numId w:val="1001"/>
        </w:numPr>
      </w:pPr>
      <w:r>
        <w:rPr>
          <w:b/>
          <w:bCs/>
        </w:rPr>
        <w:t xml:space="preserve">Generated:</w:t>
      </w:r>
      <w:r>
        <w:t xml:space="preserve"> </w:t>
      </w:r>
      <w:r>
        <w:t xml:space="preserve">2026-04-29</w:t>
      </w:r>
    </w:p>
    <w:p>
      <w:pPr>
        <w:pStyle w:val="Compact"/>
        <w:numPr>
          <w:ilvl w:val="0"/>
          <w:numId w:val="1001"/>
        </w:numPr>
      </w:pPr>
      <w:r>
        <w:rPr>
          <w:b/>
          <w:bCs/>
        </w:rPr>
        <w:t xml:space="preserve">Source (latest version):</w:t>
      </w:r>
      <w:r>
        <w:t xml:space="preserve"> </w:t>
      </w:r>
      <w:hyperlink r:id="rId12">
        <w:r>
          <w:rPr>
            <w:rStyle w:val="Hyperlink"/>
          </w:rPr>
          <w:t xml:space="preserve">https://blueprint.ecohubs.community/articles/rcos-templates/layer-5/operations-manual</w:t>
        </w:r>
      </w:hyperlink>
    </w:p>
    <w:p>
      <w:pPr>
        <w:pStyle w:val="Compact"/>
        <w:numPr>
          <w:ilvl w:val="0"/>
          <w:numId w:val="1001"/>
        </w:numPr>
      </w:pPr>
      <w:r>
        <w:rPr>
          <w:b/>
          <w:bCs/>
        </w:rPr>
        <w:t xml:space="preserve">All RCOS templates:</w:t>
      </w:r>
      <w:r>
        <w:t xml:space="preserve"> </w:t>
      </w:r>
      <w:hyperlink r:id="rId13">
        <w:r>
          <w:rPr>
            <w:rStyle w:val="Hyperlink"/>
          </w:rPr>
          <w:t xml:space="preserve">https://blueprint.ecohubs.community/articles/rcos-templates</w:t>
        </w:r>
      </w:hyperlink>
    </w:p>
    <w:p>
      <w:r>
        <w:pict>
          <v:rect style="width:0;height:1.5pt" o:hralign="center" o:hrstd="t" o:hr="t"/>
        </w:pict>
      </w:r>
    </w:p>
    <w:p>
      <w:pPr>
        <w:pStyle w:val="Compact"/>
        <w:numPr>
          <w:ilvl w:val="0"/>
          <w:numId w:val="1002"/>
        </w:numPr>
      </w:pPr>
      <w:r>
        <w:rPr>
          <w:b/>
          <w:bCs/>
        </w:rPr>
        <w:t xml:space="preserve">Layer:</w:t>
      </w:r>
      <w:r>
        <w:t xml:space="preserve"> </w:t>
      </w:r>
      <w:r>
        <w:t xml:space="preserve">5 — Operations &amp; Coordination</w:t>
      </w:r>
    </w:p>
    <w:p>
      <w:pPr>
        <w:pStyle w:val="Compact"/>
        <w:numPr>
          <w:ilvl w:val="0"/>
          <w:numId w:val="1002"/>
        </w:numPr>
      </w:pPr>
      <w:r>
        <w:rPr>
          <w:b/>
          <w:bCs/>
        </w:rPr>
        <w:t xml:space="preserve">Status:</w:t>
      </w:r>
      <w:r>
        <w:t xml:space="preserve"> </w:t>
      </w:r>
      <w:r>
        <w:t xml:space="preserve">Template — adapt for your community</w:t>
      </w:r>
    </w:p>
    <w:p>
      <w:pPr>
        <w:pStyle w:val="Compact"/>
        <w:numPr>
          <w:ilvl w:val="0"/>
          <w:numId w:val="1002"/>
        </w:numPr>
      </w:pPr>
      <w:r>
        <w:rPr>
          <w:b/>
          <w:bCs/>
        </w:rPr>
        <w:t xml:space="preserve">RCOS reference:</w:t>
      </w:r>
      <w:r>
        <w:t xml:space="preserve"> </w:t>
      </w:r>
      <w:hyperlink r:id="rId14">
        <w:r>
          <w:rPr>
            <w:rStyle w:val="Hyperlink"/>
          </w:rPr>
          <w:t xml:space="preserve">§7.1</w:t>
        </w:r>
      </w:hyperlink>
      <w:r>
        <w:t xml:space="preserve">,</w:t>
      </w:r>
      <w:r>
        <w:t xml:space="preserve"> </w:t>
      </w:r>
      <w:hyperlink r:id="rId15">
        <w:r>
          <w:rPr>
            <w:rStyle w:val="Hyperlink"/>
          </w:rPr>
          <w:t xml:space="preserve">§7.3</w:t>
        </w:r>
      </w:hyperlink>
      <w:r>
        <w:t xml:space="preserve">,</w:t>
      </w:r>
      <w:r>
        <w:t xml:space="preserve"> </w:t>
      </w:r>
      <w:hyperlink r:id="rId16">
        <w:r>
          <w:rPr>
            <w:rStyle w:val="Hyperlink"/>
          </w:rPr>
          <w:t xml:space="preserve">§7.4</w:t>
        </w:r>
      </w:hyperlink>
      <w:r>
        <w:t xml:space="preserve">,</w:t>
      </w:r>
      <w:r>
        <w:t xml:space="preserve"> </w:t>
      </w:r>
      <w:hyperlink r:id="rId17">
        <w:r>
          <w:rPr>
            <w:rStyle w:val="Hyperlink"/>
          </w:rPr>
          <w:t xml:space="preserve">§7.5</w:t>
        </w:r>
      </w:hyperlink>
      <w:r>
        <w:t xml:space="preserve">,</w:t>
      </w:r>
      <w:r>
        <w:t xml:space="preserve"> </w:t>
      </w:r>
      <w:hyperlink r:id="rId18">
        <w:r>
          <w:rPr>
            <w:rStyle w:val="Hyperlink"/>
          </w:rPr>
          <w:t xml:space="preserve">§7.6</w:t>
        </w:r>
      </w:hyperlink>
    </w:p>
    <w:p>
      <w:r>
        <w:pict>
          <v:rect style="width:0;height:1.5pt" o:hralign="center" o:hrstd="t" o:hr="t"/>
        </w:pict>
      </w:r>
    </w:p>
    <w:bookmarkStart w:id="20" w:name="core-operational-processes"/>
    <w:p>
      <w:pPr>
        <w:pStyle w:val="Heading2"/>
      </w:pPr>
      <w:r>
        <w:t xml:space="preserve">Core Operational Processes</w:t>
      </w:r>
    </w:p>
    <w:p>
      <w:pPr>
        <w:pStyle w:val="FirstParagraph"/>
      </w:pPr>
      <w:r>
        <w:rPr>
          <w:i/>
          <w:iCs/>
        </w:rPr>
        <w:t xml:space="preserve">RCOS clauses:</w:t>
      </w:r>
      <w:r>
        <w:rPr>
          <w:i/>
          <w:iCs/>
        </w:rPr>
        <w:t xml:space="preserve"> </w:t>
      </w:r>
      <w:hyperlink r:id="rId15">
        <w:r>
          <w:rPr>
            <w:rStyle w:val="Hyperlink"/>
            <w:i/>
            <w:iCs/>
          </w:rPr>
          <w:t xml:space="preserve">7.3.4</w:t>
        </w:r>
      </w:hyperlink>
      <w:r>
        <w:rPr>
          <w:i/>
          <w:iCs/>
        </w:rPr>
        <w:t xml:space="preserve">,</w:t>
      </w:r>
      <w:r>
        <w:rPr>
          <w:i/>
          <w:iCs/>
        </w:rPr>
        <w:t xml:space="preserve"> </w:t>
      </w:r>
      <w:hyperlink r:id="rId19">
        <w:r>
          <w:rPr>
            <w:rStyle w:val="Hyperlink"/>
            <w:i/>
            <w:iCs/>
          </w:rPr>
          <w:t xml:space="preserve">7.7.2</w:t>
        </w:r>
      </w:hyperlink>
      <w:r>
        <w:rPr>
          <w:i/>
          <w:iCs/>
        </w:rPr>
        <w:t xml:space="preserve">,</w:t>
      </w:r>
      <w:r>
        <w:rPr>
          <w:i/>
          <w:iCs/>
        </w:rPr>
        <w:t xml:space="preserve"> </w:t>
      </w:r>
      <w:hyperlink r:id="rId18">
        <w:r>
          <w:rPr>
            <w:rStyle w:val="Hyperlink"/>
            <w:i/>
            <w:iCs/>
          </w:rPr>
          <w:t xml:space="preserve">7.6.3</w:t>
        </w:r>
      </w:hyperlink>
    </w:p>
    <w:p>
      <w:pPr>
        <w:pStyle w:val="BlockText"/>
      </w:pPr>
      <w:r>
        <w:rPr>
          <w:b/>
          <w:bCs/>
        </w:rPr>
        <w:t xml:space="preserve">Rationale — Why document critical processes</w:t>
      </w:r>
    </w:p>
    <w:p>
      <w:pPr>
        <w:pStyle w:val="BlockText"/>
      </w:pPr>
      <w:r>
        <w:t xml:space="preserve">If a process only lives in one person’s head, the community depends on that person showing up — forever. Writing the critical processes down, with named owners, is what converts private knowledge into a community asset that survives handovers, absences, and exits.</w:t>
      </w:r>
    </w:p>
    <w:p>
      <w:pPr>
        <w:pStyle w:val="BlockText"/>
      </w:pPr>
      <w:r>
        <w:rPr>
          <w:b/>
          <w:bCs/>
        </w:rPr>
        <w:t xml:space="preserve">Instructions — How to fill this in</w:t>
      </w:r>
    </w:p>
    <w:p>
      <w:pPr>
        <w:pStyle w:val="BlockText"/>
      </w:pPr>
      <w:r>
        <w:t xml:space="preserve">For every recurring critical process (onboarding, exit, proposal publication, contribution recording, meeting cadence, treasury management, platform access review), name an owner and a brief description.</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Process</w:t>
            </w:r>
          </w:p>
        </w:tc>
        <w:tc>
          <w:tcPr/>
          <w:p>
            <w:pPr>
              <w:pStyle w:val="Compact"/>
            </w:pPr>
            <w:r>
              <w:t xml:space="preserve">Who</w:t>
            </w:r>
          </w:p>
        </w:tc>
        <w:tc>
          <w:tcPr/>
          <w:p>
            <w:pPr>
              <w:pStyle w:val="Compact"/>
            </w:pPr>
            <w:r>
              <w:t xml:space="preserve">Detail</w:t>
            </w:r>
          </w:p>
        </w:tc>
      </w:tr>
      <w:tr>
        <w:tc>
          <w:tcPr/>
          <w:p>
            <w:pPr>
              <w:pStyle w:val="Compact"/>
            </w:pPr>
          </w:p>
        </w:tc>
        <w:tc>
          <w:tcPr/>
          <w:p>
            <w:pPr>
              <w:pStyle w:val="Compact"/>
            </w:pPr>
          </w:p>
        </w:tc>
        <w:tc>
          <w:tcPr/>
          <w:p>
            <w:pPr>
              <w:pStyle w:val="Compact"/>
            </w:pPr>
            <w:r>
              <w:rPr>
                <w:i/>
                <w:iCs/>
              </w:rPr>
              <w:t xml:space="preserve">&lt;see Onboarding Protocol (Layer 1)&gt;</w:t>
            </w:r>
          </w:p>
        </w:tc>
      </w:tr>
      <w:tr>
        <w:tc>
          <w:tcPr/>
          <w:p>
            <w:pPr>
              <w:pStyle w:val="Compact"/>
            </w:pPr>
          </w:p>
        </w:tc>
        <w:tc>
          <w:tcPr/>
          <w:p>
            <w:pPr>
              <w:pStyle w:val="Compact"/>
            </w:pPr>
          </w:p>
        </w:tc>
        <w:tc>
          <w:tcPr/>
          <w:p>
            <w:pPr>
              <w:pStyle w:val="Compact"/>
            </w:pPr>
            <w:r>
              <w:rPr>
                <w:i/>
                <w:iCs/>
              </w:rPr>
              <w:t xml:space="preserve">&lt;see Exit &amp; Separation Protocol (Layer 1)&gt;</w:t>
            </w:r>
          </w:p>
        </w:tc>
      </w:tr>
      <w:tr>
        <w:tc>
          <w:tcPr/>
          <w:p>
            <w:pPr>
              <w:pStyle w:val="Compact"/>
            </w:pPr>
          </w:p>
        </w:tc>
        <w:tc>
          <w:tcPr/>
          <w:p>
            <w:pPr>
              <w:pStyle w:val="Compact"/>
            </w:pPr>
          </w:p>
        </w:tc>
        <w:tc>
          <w:tcPr/>
          <w:p>
            <w:pPr>
              <w:pStyle w:val="Compact"/>
            </w:pPr>
            <w:r>
              <w:rPr>
                <w:i/>
                <w:iCs/>
              </w:rPr>
              <w:t xml:space="preserve">&lt;see Governance Protocol (Layer 2)&gt;</w:t>
            </w:r>
          </w:p>
        </w:tc>
      </w:tr>
      <w:tr>
        <w:tc>
          <w:tcPr/>
          <w:p>
            <w:pPr>
              <w:pStyle w:val="Compact"/>
            </w:pPr>
          </w:p>
        </w:tc>
        <w:tc>
          <w:tcPr/>
          <w:p>
            <w:pPr>
              <w:pStyle w:val="Compact"/>
            </w:pPr>
          </w:p>
        </w:tc>
        <w:tc>
          <w:tcPr/>
          <w:p>
            <w:pPr>
              <w:pStyle w:val="Compact"/>
            </w:pPr>
            <w:r>
              <w:rPr>
                <w:i/>
                <w:iCs/>
              </w:rPr>
              <w:t xml:space="preserve">&lt;see Internal Economy Protocol (Layer 3)&gt;</w:t>
            </w:r>
          </w:p>
        </w:tc>
      </w:tr>
      <w:tr>
        <w:tc>
          <w:tcPr/>
          <w:p>
            <w:pPr>
              <w:pStyle w:val="Compact"/>
            </w:pPr>
          </w:p>
        </w:tc>
        <w:tc>
          <w:tcPr/>
          <w:p>
            <w:pPr>
              <w:pStyle w:val="Compact"/>
            </w:pPr>
          </w:p>
        </w:tc>
        <w:tc>
          <w:tcPr/>
          <w:p>
            <w:pPr>
              <w:pStyle w:val="Compact"/>
            </w:pPr>
            <w:r>
              <w:rPr>
                <w:i/>
                <w:iCs/>
              </w:rPr>
              <w:t xml:space="preserve">&lt;agenda publication; notes; action tracking&gt;</w:t>
            </w:r>
          </w:p>
        </w:tc>
      </w:tr>
      <w:tr>
        <w:tc>
          <w:tcPr/>
          <w:p>
            <w:pPr>
              <w:pStyle w:val="Compact"/>
            </w:pPr>
          </w:p>
        </w:tc>
        <w:tc>
          <w:tcPr/>
          <w:p>
            <w:pPr>
              <w:pStyle w:val="Compact"/>
            </w:pPr>
          </w:p>
        </w:tc>
        <w:tc>
          <w:tcPr/>
          <w:p>
            <w:pPr>
              <w:pStyle w:val="Compact"/>
            </w:pPr>
            <w:r>
              <w:rPr>
                <w:i/>
                <w:iCs/>
              </w:rPr>
              <w:t xml:space="preserve">&lt;see Treasury Ruleset (Layer 3)&gt;</w:t>
            </w:r>
          </w:p>
        </w:tc>
      </w:tr>
      <w:tr>
        <w:tc>
          <w:tcPr/>
          <w:p>
            <w:pPr>
              <w:pStyle w:val="Compact"/>
            </w:pPr>
          </w:p>
        </w:tc>
        <w:tc>
          <w:tcPr/>
          <w:p>
            <w:pPr>
              <w:pStyle w:val="Compact"/>
            </w:pPr>
          </w:p>
        </w:tc>
        <w:tc>
          <w:tcPr/>
          <w:p>
            <w:pPr>
              <w:pStyle w:val="Compact"/>
            </w:pPr>
            <w:r>
              <w:rPr>
                <w:i/>
                <w:iCs/>
              </w:rPr>
              <w:t xml:space="preserve">&lt;review cadence; access revocation for exited members&gt;</w:t>
            </w:r>
          </w:p>
        </w:tc>
      </w:tr>
    </w:tbl>
    <w:bookmarkEnd w:id="20"/>
    <w:bookmarkStart w:id="21" w:name="temporary-and-ad-hoc-responsibilities"/>
    <w:p>
      <w:pPr>
        <w:pStyle w:val="Heading2"/>
      </w:pPr>
      <w:r>
        <w:t xml:space="preserve">Temporary and Ad-Hoc Responsibilities</w:t>
      </w:r>
    </w:p>
    <w:p>
      <w:pPr>
        <w:pStyle w:val="FirstParagraph"/>
      </w:pPr>
      <w:r>
        <w:rPr>
          <w:i/>
          <w:iCs/>
        </w:rPr>
        <w:t xml:space="preserve">RCOS clauses:</w:t>
      </w:r>
      <w:r>
        <w:rPr>
          <w:i/>
          <w:iCs/>
        </w:rPr>
        <w:t xml:space="preserve"> </w:t>
      </w:r>
      <w:hyperlink r:id="rId14">
        <w:r>
          <w:rPr>
            <w:rStyle w:val="Hyperlink"/>
            <w:i/>
            <w:iCs/>
          </w:rPr>
          <w:t xml:space="preserve">7.1.5</w:t>
        </w:r>
      </w:hyperlink>
      <w:r>
        <w:rPr>
          <w:i/>
          <w:iCs/>
        </w:rPr>
        <w:t xml:space="preserve">,</w:t>
      </w:r>
      <w:r>
        <w:rPr>
          <w:i/>
          <w:iCs/>
        </w:rPr>
        <w:t xml:space="preserve"> </w:t>
      </w:r>
      <w:hyperlink r:id="rId14">
        <w:r>
          <w:rPr>
            <w:rStyle w:val="Hyperlink"/>
            <w:i/>
            <w:iCs/>
          </w:rPr>
          <w:t xml:space="preserve">7.1.4</w:t>
        </w:r>
      </w:hyperlink>
      <w:r>
        <w:rPr>
          <w:i/>
          <w:iCs/>
        </w:rPr>
        <w:t xml:space="preserve">,</w:t>
      </w:r>
      <w:r>
        <w:rPr>
          <w:i/>
          <w:iCs/>
        </w:rPr>
        <w:t xml:space="preserve"> </w:t>
      </w:r>
      <w:hyperlink r:id="rId19">
        <w:r>
          <w:rPr>
            <w:rStyle w:val="Hyperlink"/>
            <w:i/>
            <w:iCs/>
          </w:rPr>
          <w:t xml:space="preserve">7.7.1</w:t>
        </w:r>
      </w:hyperlink>
    </w:p>
    <w:p>
      <w:pPr>
        <w:pStyle w:val="BlockText"/>
      </w:pPr>
      <w:r>
        <w:rPr>
          <w:b/>
          <w:bCs/>
        </w:rPr>
        <w:t xml:space="preserve">Rationale — Why cap temporary responsibilities</w:t>
      </w:r>
    </w:p>
    <w:p>
      <w:pPr>
        <w:pStyle w:val="BlockText"/>
      </w:pPr>
      <w:r>
        <w:t xml:space="preserve">Ad-hoc tasks quietly calcify into permanent unpaid jobs — usually on whoever said yes once. A hard time-box and a forced review make the difference between</w:t>
      </w:r>
      <w:r>
        <w:t xml:space="preserve"> </w:t>
      </w:r>
      <w:r>
        <w:t xml:space="preserve">“I covered for a week”</w:t>
      </w:r>
      <w:r>
        <w:t xml:space="preserve"> </w:t>
      </w:r>
      <w:r>
        <w:t xml:space="preserve">and</w:t>
      </w:r>
      <w:r>
        <w:t xml:space="preserve"> </w:t>
      </w:r>
      <w:r>
        <w:t xml:space="preserve">“apparently this is my role now.”</w:t>
      </w:r>
    </w:p>
    <w:p>
      <w:pPr>
        <w:pStyle w:val="BlockText"/>
      </w:pPr>
      <w:r>
        <w:rPr>
          <w:b/>
          <w:bCs/>
        </w:rPr>
        <w:t xml:space="preserve">Instructions — How to fill this in</w:t>
      </w:r>
    </w:p>
    <w:p>
      <w:pPr>
        <w:pStyle w:val="BlockText"/>
      </w:pPr>
      <w:r>
        <w:t xml:space="preserve">State that any temporary responsibility must be time-bounded at assignment, documented, reviewed before expiry, and either formalised or terminated.</w:t>
      </w:r>
    </w:p>
    <w:p>
      <w:pPr>
        <w:pStyle w:val="FirstParagraph"/>
      </w:pPr>
      <w:r>
        <w:t xml:space="preserve">When a task or responsibility is assigned temporarily, it must be:</w:t>
      </w:r>
    </w:p>
    <w:p>
      <w:pPr>
        <w:pStyle w:val="Compact"/>
        <w:numPr>
          <w:ilvl w:val="0"/>
          <w:numId w:val="1003"/>
        </w:numPr>
      </w:pPr>
      <w:r>
        <w:rPr>
          <w:i/>
          <w:iCs/>
        </w:rPr>
        <w:t xml:space="preserve">&lt;Explicitly time-bounded from the outset (specific end date or completion condition).&gt;</w:t>
      </w:r>
    </w:p>
    <w:p>
      <w:pPr>
        <w:pStyle w:val="Compact"/>
        <w:numPr>
          <w:ilvl w:val="0"/>
          <w:numId w:val="1003"/>
        </w:numPr>
      </w:pPr>
    </w:p>
    <w:p>
      <w:pPr>
        <w:pStyle w:val="Compact"/>
        <w:numPr>
          <w:ilvl w:val="0"/>
          <w:numId w:val="1003"/>
        </w:numPr>
      </w:pPr>
      <w:r>
        <w:rPr>
          <w:i/>
          <w:iCs/>
        </w:rPr>
        <w:t xml:space="preserve">&lt;Reviewed before the end date; converted to a formal role or terminated.&gt;</w:t>
      </w:r>
    </w:p>
    <w:p>
      <w:pPr>
        <w:pStyle w:val="FirstParagraph"/>
      </w:pPr>
      <w:r>
        <w:rPr>
          <w:i/>
          <w:iCs/>
        </w:rPr>
        <w:t xml:space="preserve">&lt;Maximum duration of any temporary responsibility before it must be formally assigned or terminated — e.g. 90 days.&gt;</w:t>
      </w:r>
      <w:r>
        <w:t xml:space="preserve"> </w:t>
      </w:r>
      <w:r>
        <w:t xml:space="preserve">If a temporary responsibility has no owner after its end date, it lapses; it does not transfer implicitly.</w:t>
      </w:r>
    </w:p>
    <w:p>
      <w:r>
        <w:pict>
          <v:rect style="width:0;height:1.5pt" o:hralign="center" o:hrstd="t" o:hr="t"/>
        </w:pict>
      </w:r>
    </w:p>
    <w:bookmarkEnd w:id="21"/>
    <w:bookmarkStart w:id="22" w:name="role-and-domain-interfaces"/>
    <w:p>
      <w:pPr>
        <w:pStyle w:val="Heading2"/>
      </w:pPr>
      <w:r>
        <w:t xml:space="preserve">Role and Domain Interfaces</w:t>
      </w:r>
    </w:p>
    <w:p>
      <w:pPr>
        <w:pStyle w:val="FirstParagraph"/>
      </w:pPr>
      <w:r>
        <w:rPr>
          <w:i/>
          <w:iCs/>
        </w:rPr>
        <w:t xml:space="preserve">RCOS clauses:</w:t>
      </w:r>
      <w:r>
        <w:rPr>
          <w:i/>
          <w:iCs/>
        </w:rPr>
        <w:t xml:space="preserve"> </w:t>
      </w:r>
      <w:hyperlink r:id="rId18">
        <w:r>
          <w:rPr>
            <w:rStyle w:val="Hyperlink"/>
            <w:i/>
            <w:iCs/>
          </w:rPr>
          <w:t xml:space="preserve">7.6.3</w:t>
        </w:r>
      </w:hyperlink>
      <w:r>
        <w:rPr>
          <w:i/>
          <w:iCs/>
        </w:rPr>
        <w:t xml:space="preserve">,</w:t>
      </w:r>
      <w:r>
        <w:rPr>
          <w:i/>
          <w:iCs/>
        </w:rPr>
        <w:t xml:space="preserve"> </w:t>
      </w:r>
      <w:hyperlink r:id="rId15">
        <w:r>
          <w:rPr>
            <w:rStyle w:val="Hyperlink"/>
            <w:i/>
            <w:iCs/>
          </w:rPr>
          <w:t xml:space="preserve">7.3.4</w:t>
        </w:r>
      </w:hyperlink>
    </w:p>
    <w:p>
      <w:pPr>
        <w:pStyle w:val="BlockText"/>
      </w:pPr>
      <w:r>
        <w:rPr>
          <w:b/>
          <w:bCs/>
        </w:rPr>
        <w:t xml:space="preserve">Rationale — Why map handoffs explicitly</w:t>
      </w:r>
    </w:p>
    <w:p>
      <w:pPr>
        <w:pStyle w:val="BlockText"/>
      </w:pPr>
      <w:r>
        <w:t xml:space="preserve">Most operational failures happen not inside a role but between roles — at the boundaries where work moves from one owner to the next. Naming the handoffs turns invisible dependencies into reviewable ones, and prevents</w:t>
      </w:r>
      <w:r>
        <w:t xml:space="preserve"> </w:t>
      </w:r>
      <w:r>
        <w:t xml:space="preserve">“I thought you had it”</w:t>
      </w:r>
      <w:r>
        <w:t xml:space="preserve"> </w:t>
      </w:r>
      <w:r>
        <w:t xml:space="preserve">failures.</w:t>
      </w:r>
    </w:p>
    <w:p>
      <w:pPr>
        <w:pStyle w:val="BlockText"/>
      </w:pPr>
      <w:r>
        <w:rPr>
          <w:b/>
          <w:bCs/>
        </w:rPr>
        <w:t xml:space="preserve">Instructions — How to fill this in</w:t>
      </w:r>
    </w:p>
    <w:p>
      <w:pPr>
        <w:pStyle w:val="BlockText"/>
      </w:pPr>
      <w:r>
        <w:t xml:space="preserve">For each pair of roles that pass work to each other, name the handoff and the type of work transferred.</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From</w:t>
            </w:r>
          </w:p>
        </w:tc>
        <w:tc>
          <w:tcPr/>
          <w:p>
            <w:pPr>
              <w:pStyle w:val="Compact"/>
            </w:pPr>
            <w:r>
              <w:t xml:space="preserve">To</w:t>
            </w:r>
          </w:p>
        </w:tc>
        <w:tc>
          <w:tcPr/>
          <w:p>
            <w:pPr>
              <w:pStyle w:val="Compact"/>
            </w:pPr>
            <w:r>
              <w:t xml:space="preserve">Handoff</w:t>
            </w:r>
          </w:p>
        </w:tc>
      </w:tr>
      <w:tr>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r>
              <w:rPr>
                <w:i/>
                <w:iCs/>
              </w:rPr>
              <w:t xml:space="preserve">&lt;…&gt;</w:t>
            </w:r>
          </w:p>
        </w:tc>
      </w:tr>
    </w:tbl>
    <w:bookmarkEnd w:id="22"/>
    <w:bookmarkStart w:id="23" w:name="workload-boundaries"/>
    <w:p>
      <w:pPr>
        <w:pStyle w:val="Heading2"/>
      </w:pPr>
      <w:r>
        <w:t xml:space="preserve">Workload Boundaries</w:t>
      </w:r>
    </w:p>
    <w:p>
      <w:pPr>
        <w:pStyle w:val="FirstParagraph"/>
      </w:pPr>
      <w:r>
        <w:rPr>
          <w:i/>
          <w:iCs/>
        </w:rPr>
        <w:t xml:space="preserve">RCOS clauses:</w:t>
      </w:r>
      <w:r>
        <w:rPr>
          <w:i/>
          <w:iCs/>
        </w:rPr>
        <w:t xml:space="preserve"> </w:t>
      </w:r>
      <w:hyperlink r:id="rId16">
        <w:r>
          <w:rPr>
            <w:rStyle w:val="Hyperlink"/>
            <w:i/>
            <w:iCs/>
          </w:rPr>
          <w:t xml:space="preserve">7.4.1</w:t>
        </w:r>
      </w:hyperlink>
      <w:r>
        <w:rPr>
          <w:i/>
          <w:iCs/>
        </w:rPr>
        <w:t xml:space="preserve">,</w:t>
      </w:r>
      <w:r>
        <w:rPr>
          <w:i/>
          <w:iCs/>
        </w:rPr>
        <w:t xml:space="preserve"> </w:t>
      </w:r>
      <w:hyperlink r:id="rId16">
        <w:r>
          <w:rPr>
            <w:rStyle w:val="Hyperlink"/>
            <w:i/>
            <w:iCs/>
          </w:rPr>
          <w:t xml:space="preserve">7.4.2</w:t>
        </w:r>
      </w:hyperlink>
      <w:r>
        <w:rPr>
          <w:i/>
          <w:iCs/>
        </w:rPr>
        <w:t xml:space="preserve">,</w:t>
      </w:r>
      <w:r>
        <w:rPr>
          <w:i/>
          <w:iCs/>
        </w:rPr>
        <w:t xml:space="preserve"> </w:t>
      </w:r>
      <w:hyperlink r:id="rId16">
        <w:r>
          <w:rPr>
            <w:rStyle w:val="Hyperlink"/>
            <w:i/>
            <w:iCs/>
          </w:rPr>
          <w:t xml:space="preserve">7.4.3</w:t>
        </w:r>
      </w:hyperlink>
      <w:r>
        <w:rPr>
          <w:i/>
          <w:iCs/>
        </w:rPr>
        <w:t xml:space="preserve">,</w:t>
      </w:r>
      <w:r>
        <w:rPr>
          <w:i/>
          <w:iCs/>
        </w:rPr>
        <w:t xml:space="preserve"> </w:t>
      </w:r>
      <w:hyperlink r:id="rId19">
        <w:r>
          <w:rPr>
            <w:rStyle w:val="Hyperlink"/>
            <w:i/>
            <w:iCs/>
          </w:rPr>
          <w:t xml:space="preserve">7.7.3</w:t>
        </w:r>
      </w:hyperlink>
    </w:p>
    <w:p>
      <w:pPr>
        <w:pStyle w:val="BlockText"/>
      </w:pPr>
      <w:r>
        <w:rPr>
          <w:b/>
          <w:bCs/>
        </w:rPr>
        <w:t xml:space="preserve">Rationale — Why make workload limits explicit</w:t>
      </w:r>
    </w:p>
    <w:p>
      <w:pPr>
        <w:pStyle w:val="BlockText"/>
      </w:pPr>
      <w:r>
        <w:t xml:space="preserve">Unbounded coordination load is the default failure mode of volunteer communities — it quietly burns out the most committed members until they leave. Explicit, reviewable limits make capacity a shared concern rather than a private burden.</w:t>
      </w:r>
    </w:p>
    <w:p>
      <w:pPr>
        <w:pStyle w:val="BlockText"/>
      </w:pPr>
      <w:r>
        <w:rPr>
          <w:b/>
          <w:bCs/>
        </w:rPr>
        <w:t xml:space="preserve">Instructions — How to fill this in</w:t>
      </w:r>
    </w:p>
    <w:p>
      <w:pPr>
        <w:pStyle w:val="BlockText"/>
      </w:pPr>
      <w:r>
        <w:t xml:space="preserve">Set bounds on meeting load, role load, response-time expectations, and the path for renegotiating responsibilities.</w:t>
      </w:r>
    </w:p>
    <w:p>
      <w:pPr>
        <w:pStyle w:val="Compact"/>
        <w:numPr>
          <w:ilvl w:val="0"/>
          <w:numId w:val="1004"/>
        </w:numPr>
      </w:pPr>
      <w:r>
        <w:rPr>
          <w:b/>
          <w:bCs/>
        </w:rPr>
        <w:t xml:space="preserve">Meeting load:</w:t>
      </w:r>
      <w:r>
        <w:t xml:space="preserve"> </w:t>
      </w:r>
      <w:r>
        <w:rPr>
          <w:i/>
          <w:iCs/>
        </w:rPr>
        <w:t xml:space="preserve">&lt;recurring meeting cadence and maximum duration; rules for extraordinary meetings.&gt;</w:t>
      </w:r>
    </w:p>
    <w:p>
      <w:pPr>
        <w:pStyle w:val="Compact"/>
        <w:numPr>
          <w:ilvl w:val="0"/>
          <w:numId w:val="1004"/>
        </w:numPr>
      </w:pPr>
      <w:r>
        <w:rPr>
          <w:b/>
          <w:bCs/>
        </w:rPr>
        <w:t xml:space="preserve">Role load:</w:t>
      </w:r>
      <w:r>
        <w:t xml:space="preserve"> </w:t>
      </w:r>
      <w:r>
        <w:rPr>
          <w:i/>
          <w:iCs/>
        </w:rPr>
        <w:t xml:space="preserve">&lt;cap if any; rule for flagging overload; resolution window.&gt;</w:t>
      </w:r>
    </w:p>
    <w:p>
      <w:pPr>
        <w:pStyle w:val="Compact"/>
        <w:numPr>
          <w:ilvl w:val="0"/>
          <w:numId w:val="1004"/>
        </w:numPr>
      </w:pPr>
      <w:r>
        <w:rPr>
          <w:b/>
          <w:bCs/>
        </w:rPr>
        <w:t xml:space="preserve">Response time expectations:</w:t>
      </w:r>
      <w:r>
        <w:t xml:space="preserve"> </w:t>
      </w:r>
      <w:r>
        <w:rPr>
          <w:i/>
          <w:iCs/>
        </w:rPr>
        <w:t xml:space="preserve">&lt;non-urgent async; urgent operational; safety-critical.&gt;</w:t>
      </w:r>
    </w:p>
    <w:p>
      <w:pPr>
        <w:pStyle w:val="Compact"/>
        <w:numPr>
          <w:ilvl w:val="0"/>
          <w:numId w:val="1004"/>
        </w:numPr>
      </w:pPr>
      <w:r>
        <w:rPr>
          <w:b/>
          <w:bCs/>
        </w:rPr>
        <w:t xml:space="preserve">Renegotiation and relief:</w:t>
      </w:r>
      <w:r>
        <w:t xml:space="preserve"> </w:t>
      </w:r>
      <w:r>
        <w:rPr>
          <w:i/>
          <w:iCs/>
        </w:rPr>
        <w:t xml:space="preserve">&lt;process for redistributing responsibilities; resolution window.&gt;</w:t>
      </w:r>
    </w:p>
    <w:bookmarkEnd w:id="23"/>
    <w:bookmarkStart w:id="24" w:name="operational-continuity"/>
    <w:p>
      <w:pPr>
        <w:pStyle w:val="Heading2"/>
      </w:pPr>
      <w:r>
        <w:t xml:space="preserve">Operational Continuity</w:t>
      </w:r>
    </w:p>
    <w:p>
      <w:pPr>
        <w:pStyle w:val="FirstParagraph"/>
      </w:pPr>
      <w:r>
        <w:rPr>
          <w:i/>
          <w:iCs/>
        </w:rPr>
        <w:t xml:space="preserve">RCOS clauses:</w:t>
      </w:r>
      <w:r>
        <w:rPr>
          <w:i/>
          <w:iCs/>
        </w:rPr>
        <w:t xml:space="preserve"> </w:t>
      </w:r>
      <w:hyperlink r:id="rId17">
        <w:r>
          <w:rPr>
            <w:rStyle w:val="Hyperlink"/>
            <w:i/>
            <w:iCs/>
          </w:rPr>
          <w:t xml:space="preserve">7.5.1</w:t>
        </w:r>
      </w:hyperlink>
      <w:r>
        <w:rPr>
          <w:i/>
          <w:iCs/>
        </w:rPr>
        <w:t xml:space="preserve">,</w:t>
      </w:r>
      <w:r>
        <w:rPr>
          <w:i/>
          <w:iCs/>
        </w:rPr>
        <w:t xml:space="preserve"> </w:t>
      </w:r>
      <w:hyperlink r:id="rId17">
        <w:r>
          <w:rPr>
            <w:rStyle w:val="Hyperlink"/>
            <w:i/>
            <w:iCs/>
          </w:rPr>
          <w:t xml:space="preserve">7.5.2</w:t>
        </w:r>
      </w:hyperlink>
      <w:r>
        <w:rPr>
          <w:i/>
          <w:iCs/>
        </w:rPr>
        <w:t xml:space="preserve">,</w:t>
      </w:r>
      <w:r>
        <w:rPr>
          <w:i/>
          <w:iCs/>
        </w:rPr>
        <w:t xml:space="preserve"> </w:t>
      </w:r>
      <w:hyperlink r:id="rId17">
        <w:r>
          <w:rPr>
            <w:rStyle w:val="Hyperlink"/>
            <w:i/>
            <w:iCs/>
          </w:rPr>
          <w:t xml:space="preserve">7.5.3</w:t>
        </w:r>
      </w:hyperlink>
    </w:p>
    <w:p>
      <w:pPr>
        <w:pStyle w:val="BlockText"/>
      </w:pPr>
      <w:r>
        <w:rPr>
          <w:b/>
          <w:bCs/>
        </w:rPr>
        <w:t xml:space="preserve">Rationale — Why plan for continuity now</w:t>
      </w:r>
    </w:p>
    <w:p>
      <w:pPr>
        <w:pStyle w:val="BlockText"/>
      </w:pPr>
      <w:r>
        <w:t xml:space="preserve">A community that depends on one irreplaceable person is one illness, one conflict, or one exit away from collapse. Naming the single points of failure — honestly — and building handover into every role is what keeps the community surviving its founders.</w:t>
      </w:r>
    </w:p>
    <w:p>
      <w:pPr>
        <w:pStyle w:val="BlockText"/>
      </w:pPr>
      <w:r>
        <w:rPr>
          <w:b/>
          <w:bCs/>
        </w:rPr>
        <w:t xml:space="preserve">Instructions — How to fill this in</w:t>
      </w:r>
    </w:p>
    <w:p>
      <w:pPr>
        <w:pStyle w:val="BlockText"/>
      </w:pPr>
      <w:r>
        <w:t xml:space="preserve">Name current single points of failure honestly. State the handover requirement for each role and the cadence of continuity review.</w:t>
      </w:r>
    </w:p>
    <w:p>
      <w:pPr>
        <w:pStyle w:val="Compact"/>
        <w:numPr>
          <w:ilvl w:val="0"/>
          <w:numId w:val="1005"/>
        </w:numPr>
      </w:pPr>
      <w:r>
        <w:rPr>
          <w:b/>
          <w:bCs/>
        </w:rPr>
        <w:t xml:space="preserve">Current state:</w:t>
      </w:r>
      <w:r>
        <w:t xml:space="preserve"> </w:t>
      </w:r>
      <w:r>
        <w:rPr>
          <w:i/>
          <w:iCs/>
        </w:rPr>
        <w:t xml:space="preserve">&lt;honest list of single points of failure; recruitment plan to reduce concentration.&gt;</w:t>
      </w:r>
    </w:p>
    <w:p>
      <w:pPr>
        <w:pStyle w:val="Compact"/>
        <w:numPr>
          <w:ilvl w:val="0"/>
          <w:numId w:val="1005"/>
        </w:numPr>
      </w:pPr>
      <w:r>
        <w:rPr>
          <w:b/>
          <w:bCs/>
        </w:rPr>
        <w:t xml:space="preserve">Handover mechanisms:</w:t>
      </w:r>
      <w:r>
        <w:t xml:space="preserve"> </w:t>
      </w:r>
      <w:r>
        <w:rPr>
          <w:i/>
          <w:iCs/>
        </w:rPr>
        <w:t xml:space="preserve">&lt;reference handover requirements per role in the Role Registry; handover must be completed before a role is vacated.&gt;</w:t>
      </w:r>
    </w:p>
    <w:p>
      <w:pPr>
        <w:pStyle w:val="Compact"/>
        <w:numPr>
          <w:ilvl w:val="0"/>
          <w:numId w:val="1005"/>
        </w:numPr>
      </w:pPr>
      <w:r>
        <w:rPr>
          <w:b/>
          <w:bCs/>
        </w:rPr>
        <w:t xml:space="preserve">Continuity review cadence:</w:t>
      </w:r>
      <w:r>
        <w:t xml:space="preserve"> </w:t>
      </w:r>
      <w:r>
        <w:rPr>
          <w:i/>
          <w:iCs/>
        </w:rPr>
        <w:t xml:space="preserve">&lt;quarterly; ad hoc on role change.&gt;</w:t>
      </w:r>
    </w:p>
    <w:bookmarkEnd w:id="24"/>
    <w:bookmarkStart w:id="25" w:name="information-flow-and-anti-gatekeeping"/>
    <w:p>
      <w:pPr>
        <w:pStyle w:val="Heading2"/>
      </w:pPr>
      <w:r>
        <w:t xml:space="preserve">Information Flow and Anti-Gatekeeping</w:t>
      </w:r>
    </w:p>
    <w:p>
      <w:pPr>
        <w:pStyle w:val="FirstParagraph"/>
      </w:pPr>
      <w:r>
        <w:rPr>
          <w:i/>
          <w:iCs/>
        </w:rPr>
        <w:t xml:space="preserve">RCOS clauses:</w:t>
      </w:r>
      <w:r>
        <w:rPr>
          <w:i/>
          <w:iCs/>
        </w:rPr>
        <w:t xml:space="preserve"> </w:t>
      </w:r>
      <w:hyperlink r:id="rId15">
        <w:r>
          <w:rPr>
            <w:rStyle w:val="Hyperlink"/>
            <w:i/>
            <w:iCs/>
          </w:rPr>
          <w:t xml:space="preserve">7.3.5</w:t>
        </w:r>
      </w:hyperlink>
      <w:r>
        <w:rPr>
          <w:i/>
          <w:iCs/>
        </w:rPr>
        <w:t xml:space="preserve">,</w:t>
      </w:r>
      <w:r>
        <w:rPr>
          <w:i/>
          <w:iCs/>
        </w:rPr>
        <w:t xml:space="preserve"> </w:t>
      </w:r>
      <w:hyperlink r:id="rId19">
        <w:r>
          <w:rPr>
            <w:rStyle w:val="Hyperlink"/>
            <w:i/>
            <w:iCs/>
          </w:rPr>
          <w:t xml:space="preserve">7.7.4</w:t>
        </w:r>
      </w:hyperlink>
      <w:r>
        <w:rPr>
          <w:i/>
          <w:iCs/>
        </w:rPr>
        <w:t xml:space="preserve">,</w:t>
      </w:r>
      <w:r>
        <w:rPr>
          <w:i/>
          <w:iCs/>
        </w:rPr>
        <w:t xml:space="preserve"> </w:t>
      </w:r>
      <w:hyperlink r:id="rId15">
        <w:r>
          <w:rPr>
            <w:rStyle w:val="Hyperlink"/>
            <w:i/>
            <w:iCs/>
          </w:rPr>
          <w:t xml:space="preserve">7.3.2</w:t>
        </w:r>
      </w:hyperlink>
    </w:p>
    <w:p>
      <w:pPr>
        <w:pStyle w:val="BlockText"/>
      </w:pPr>
      <w:r>
        <w:rPr>
          <w:b/>
          <w:bCs/>
        </w:rPr>
        <w:t xml:space="preserve">Rationale — Why treat information access as a governance issue</w:t>
      </w:r>
    </w:p>
    <w:p>
      <w:pPr>
        <w:pStyle w:val="BlockText"/>
      </w:pPr>
      <w:r>
        <w:t xml:space="preserve">Whoever controls access to information controls the community, whether they mean to or not. Making access rules explicit — and disallowing sole points of access — is what prevents informal gatekeepers from accumulating the kind of power the governance system is supposed to check.</w:t>
      </w:r>
    </w:p>
    <w:p>
      <w:pPr>
        <w:pStyle w:val="BlockText"/>
      </w:pPr>
      <w:r>
        <w:rPr>
          <w:b/>
          <w:bCs/>
        </w:rPr>
        <w:t xml:space="preserve">Instructions — How to fill this in</w:t>
      </w:r>
    </w:p>
    <w:p>
      <w:pPr>
        <w:pStyle w:val="BlockText"/>
      </w:pPr>
      <w:r>
        <w:t xml:space="preserve">State which records are open to all Full Members, the response window for information requests, and the rule against sole points of access for governance-relevant information.</w:t>
      </w:r>
    </w:p>
    <w:p>
      <w:pPr>
        <w:pStyle w:val="Compact"/>
        <w:numPr>
          <w:ilvl w:val="0"/>
          <w:numId w:val="1006"/>
        </w:numPr>
      </w:pPr>
    </w:p>
    <w:p>
      <w:pPr>
        <w:pStyle w:val="Compact"/>
        <w:numPr>
          <w:ilvl w:val="0"/>
          <w:numId w:val="1006"/>
        </w:numPr>
      </w:pPr>
    </w:p>
    <w:p>
      <w:pPr>
        <w:pStyle w:val="Compact"/>
        <w:numPr>
          <w:ilvl w:val="0"/>
          <w:numId w:val="1006"/>
        </w:numPr>
      </w:pPr>
    </w:p>
    <w:p>
      <w:pPr>
        <w:pStyle w:val="Compact"/>
        <w:numPr>
          <w:ilvl w:val="0"/>
          <w:numId w:val="1006"/>
        </w:numPr>
      </w:pPr>
    </w:p>
    <w:p>
      <w:pPr>
        <w:pStyle w:val="Compact"/>
        <w:numPr>
          <w:ilvl w:val="0"/>
          <w:numId w:val="1006"/>
        </w:numPr>
      </w:pPr>
    </w:p>
    <w:p>
      <w:pPr>
        <w:pStyle w:val="Compact"/>
        <w:numPr>
          <w:ilvl w:val="0"/>
          <w:numId w:val="1006"/>
        </w:numPr>
      </w:pPr>
      <w:r>
        <w:rPr>
          <w:i/>
          <w:iCs/>
        </w:rPr>
        <w:t xml:space="preserve">&lt;Withholding access to information members are entitled to is an accountability trigger under Layer 4.&gt;</w:t>
      </w:r>
    </w:p>
    <w:p>
      <w:pPr>
        <w:pStyle w:val="Compact"/>
        <w:numPr>
          <w:ilvl w:val="0"/>
          <w:numId w:val="1006"/>
        </w:numPr>
      </w:pPr>
    </w:p>
    <w:p>
      <w:r>
        <w:pict>
          <v:rect style="width:0;height:1.5pt" o:hralign="center" o:hrstd="t" o:hr="t"/>
        </w:pict>
      </w:r>
    </w:p>
    <w:bookmarkEnd w:id="25"/>
    <w:bookmarkStart w:id="26" w:name="Xbcea9955e29161af1f8c603d96e24f872fdf64a"/>
    <w:p>
      <w:pPr>
        <w:pStyle w:val="Heading2"/>
      </w:pPr>
      <w:r>
        <w:t xml:space="preserve">Documentation Locations and Update Procedures</w:t>
      </w:r>
    </w:p>
    <w:p>
      <w:pPr>
        <w:pStyle w:val="FirstParagraph"/>
      </w:pPr>
      <w:r>
        <w:rPr>
          <w:i/>
          <w:iCs/>
        </w:rPr>
        <w:t xml:space="preserve">RCOS clauses:</w:t>
      </w:r>
      <w:r>
        <w:rPr>
          <w:i/>
          <w:iCs/>
        </w:rPr>
        <w:t xml:space="preserve"> </w:t>
      </w:r>
      <w:hyperlink r:id="rId15">
        <w:r>
          <w:rPr>
            <w:rStyle w:val="Hyperlink"/>
            <w:i/>
            <w:iCs/>
          </w:rPr>
          <w:t xml:space="preserve">7.3.1</w:t>
        </w:r>
      </w:hyperlink>
      <w:r>
        <w:rPr>
          <w:i/>
          <w:iCs/>
        </w:rPr>
        <w:t xml:space="preserve">,</w:t>
      </w:r>
      <w:r>
        <w:rPr>
          <w:i/>
          <w:iCs/>
        </w:rPr>
        <w:t xml:space="preserve"> </w:t>
      </w:r>
      <w:hyperlink r:id="rId15">
        <w:r>
          <w:rPr>
            <w:rStyle w:val="Hyperlink"/>
            <w:i/>
            <w:iCs/>
          </w:rPr>
          <w:t xml:space="preserve">7.3.2</w:t>
        </w:r>
      </w:hyperlink>
      <w:r>
        <w:rPr>
          <w:i/>
          <w:iCs/>
        </w:rPr>
        <w:t xml:space="preserve">,</w:t>
      </w:r>
      <w:r>
        <w:rPr>
          <w:i/>
          <w:iCs/>
        </w:rPr>
        <w:t xml:space="preserve"> </w:t>
      </w:r>
      <w:hyperlink r:id="rId15">
        <w:r>
          <w:rPr>
            <w:rStyle w:val="Hyperlink"/>
            <w:i/>
            <w:iCs/>
          </w:rPr>
          <w:t xml:space="preserve">7.3.3</w:t>
        </w:r>
      </w:hyperlink>
    </w:p>
    <w:p>
      <w:pPr>
        <w:pStyle w:val="BlockText"/>
      </w:pPr>
      <w:r>
        <w:rPr>
          <w:b/>
          <w:bCs/>
        </w:rPr>
        <w:t xml:space="preserve">Rationale — Why name where every document lives</w:t>
      </w:r>
    </w:p>
    <w:p>
      <w:pPr>
        <w:pStyle w:val="BlockText"/>
      </w:pPr>
      <w:r>
        <w:t xml:space="preserve">If no one can say where the canonical version of something lives, there is no canonical version. Naming the location, owner, and review cadence for each document type is what makes the community’s memory auditable rather than folkloric.</w:t>
      </w:r>
    </w:p>
    <w:p>
      <w:pPr>
        <w:pStyle w:val="BlockText"/>
      </w:pPr>
      <w:r>
        <w:rPr>
          <w:b/>
          <w:bCs/>
        </w:rPr>
        <w:t xml:space="preserve">Instructions — How to fill this in</w:t>
      </w:r>
    </w:p>
    <w:p>
      <w:pPr>
        <w:pStyle w:val="BlockText"/>
      </w:pPr>
      <w:r>
        <w:t xml:space="preserve">For each document type, name the canonical location, the owner, and the review cadence.</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Document type</w:t>
            </w:r>
          </w:p>
        </w:tc>
        <w:tc>
          <w:tcPr/>
          <w:p>
            <w:pPr>
              <w:pStyle w:val="Compact"/>
            </w:pPr>
            <w:r>
              <w:t xml:space="preserve">Location</w:t>
            </w:r>
          </w:p>
        </w:tc>
        <w:tc>
          <w:tcPr/>
          <w:p>
            <w:pPr>
              <w:pStyle w:val="Compact"/>
            </w:pPr>
            <w:r>
              <w:t xml:space="preserve">Owner</w:t>
            </w:r>
          </w:p>
        </w:tc>
        <w:tc>
          <w:tcPr/>
          <w:p>
            <w:pPr>
              <w:pStyle w:val="Compact"/>
            </w:pPr>
            <w:r>
              <w:t xml:space="preserve">Review cadence</w:t>
            </w:r>
          </w:p>
        </w:tc>
      </w:tr>
      <w:tr>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r>
    </w:tbl>
    <w:p>
      <w:r>
        <w:pict>
          <v:rect style="width:0;height:1.5pt" o:hralign="center" o:hrstd="t" o:hr="t"/>
        </w:pict>
      </w:r>
    </w:p>
    <w:bookmarkEnd w:id="26"/>
    <w:bookmarkStart w:id="27" w:name="ratification-record"/>
    <w:p>
      <w:pPr>
        <w:pStyle w:val="Heading2"/>
      </w:pPr>
      <w:r>
        <w:t xml:space="preserve">Ratification Record</w:t>
      </w:r>
    </w:p>
    <w:p>
      <w:pPr>
        <w:pStyle w:val="Compact"/>
        <w:numPr>
          <w:ilvl w:val="0"/>
          <w:numId w:val="1007"/>
        </w:numPr>
      </w:pPr>
      <w:r>
        <w:rPr>
          <w:b/>
          <w:bCs/>
        </w:rPr>
        <w:t xml:space="preserve">Adopted:</w:t>
      </w:r>
      <w:r>
        <w:t xml:space="preserve"> </w:t>
      </w:r>
    </w:p>
    <w:p>
      <w:pPr>
        <w:pStyle w:val="Compact"/>
        <w:numPr>
          <w:ilvl w:val="0"/>
          <w:numId w:val="1007"/>
        </w:numPr>
      </w:pPr>
      <w:r>
        <w:rPr>
          <w:b/>
          <w:bCs/>
        </w:rPr>
        <w:t xml:space="preserve">Decision type:</w:t>
      </w:r>
      <w:r>
        <w:t xml:space="preserve"> </w:t>
      </w:r>
      <w:r>
        <w:t xml:space="preserve">Strategic</w:t>
      </w:r>
    </w:p>
    <w:p>
      <w:pPr>
        <w:pStyle w:val="Compact"/>
        <w:numPr>
          <w:ilvl w:val="0"/>
          <w:numId w:val="1007"/>
        </w:numPr>
      </w:pPr>
      <w:r>
        <w:rPr>
          <w:b/>
          <w:bCs/>
        </w:rPr>
        <w:t xml:space="preserve">Version:</w:t>
      </w:r>
      <w:r>
        <w:t xml:space="preserve"> </w:t>
      </w:r>
    </w:p>
    <w:p>
      <w:pPr>
        <w:pStyle w:val="Compact"/>
        <w:numPr>
          <w:ilvl w:val="0"/>
          <w:numId w:val="1007"/>
        </w:numPr>
      </w:pPr>
      <w:r>
        <w:rPr>
          <w:b/>
          <w:bCs/>
        </w:rPr>
        <w:t xml:space="preserve">Decision record:</w:t>
      </w:r>
      <w:r>
        <w:t xml:space="preserve"> </w:t>
      </w:r>
    </w:p>
    <w:bookmarkEnd w:id="27"/>
    <w:bookmarkEnd w:id="28"/>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9" Target="media/rId9.png" /><Relationship Type="http://schemas.openxmlformats.org/officeDocument/2006/relationships/hyperlink" Id="rId14" Target="https://blueprint.ecohubs.community/articles/rcos-core/v0-1/layer-5-operations-coordination#71-roles-and-responsibilities" TargetMode="External" /><Relationship Type="http://schemas.openxmlformats.org/officeDocument/2006/relationships/hyperlink" Id="rId15" Target="https://blueprint.ecohubs.community/articles/rcos-core/v0-1/layer-5-operations-coordination#73-documentation-and-information-flow" TargetMode="External" /><Relationship Type="http://schemas.openxmlformats.org/officeDocument/2006/relationships/hyperlink" Id="rId16" Target="https://blueprint.ecohubs.community/articles/rcos-core/v0-1/layer-5-operations-coordination#74-workload-and-capacity-boundaries" TargetMode="External" /><Relationship Type="http://schemas.openxmlformats.org/officeDocument/2006/relationships/hyperlink" Id="rId17" Target="https://blueprint.ecohubs.community/articles/rcos-core/v0-1/layer-5-operations-coordination#75-operational-continuity" TargetMode="External" /><Relationship Type="http://schemas.openxmlformats.org/officeDocument/2006/relationships/hyperlink" Id="rId18" Target="https://blueprint.ecohubs.community/articles/rcos-core/v0-1/layer-5-operations-coordination#76-artifacts" TargetMode="External" /><Relationship Type="http://schemas.openxmlformats.org/officeDocument/2006/relationships/hyperlink" Id="rId19" Target="https://blueprint.ecohubs.community/articles/rcos-core/v0-1/layer-5-operations-coordination#77-layer-invariants" TargetMode="External" /><Relationship Type="http://schemas.openxmlformats.org/officeDocument/2006/relationships/hyperlink" Id="rId13" Target="https://blueprint.ecohubs.community/articles/rcos-templates" TargetMode="External" /><Relationship Type="http://schemas.openxmlformats.org/officeDocument/2006/relationships/hyperlink" Id="rId12" Target="https://blueprint.ecohubs.community/articles/rcos-templates/layer-5/operations-manual" TargetMode="External" /></Relationships>
</file>

<file path=word/_rels/footnotes.xml.rels><?xml version="1.0" encoding="UTF-8"?><Relationships xmlns="http://schemas.openxmlformats.org/package/2006/relationships"><Relationship Type="http://schemas.openxmlformats.org/officeDocument/2006/relationships/hyperlink" Id="rId14" Target="https://blueprint.ecohubs.community/articles/rcos-core/v0-1/layer-5-operations-coordination#71-roles-and-responsibilities" TargetMode="External" /><Relationship Type="http://schemas.openxmlformats.org/officeDocument/2006/relationships/hyperlink" Id="rId15" Target="https://blueprint.ecohubs.community/articles/rcos-core/v0-1/layer-5-operations-coordination#73-documentation-and-information-flow" TargetMode="External" /><Relationship Type="http://schemas.openxmlformats.org/officeDocument/2006/relationships/hyperlink" Id="rId16" Target="https://blueprint.ecohubs.community/articles/rcos-core/v0-1/layer-5-operations-coordination#74-workload-and-capacity-boundaries" TargetMode="External" /><Relationship Type="http://schemas.openxmlformats.org/officeDocument/2006/relationships/hyperlink" Id="rId17" Target="https://blueprint.ecohubs.community/articles/rcos-core/v0-1/layer-5-operations-coordination#75-operational-continuity" TargetMode="External" /><Relationship Type="http://schemas.openxmlformats.org/officeDocument/2006/relationships/hyperlink" Id="rId18" Target="https://blueprint.ecohubs.community/articles/rcos-core/v0-1/layer-5-operations-coordination#76-artifacts" TargetMode="External" /><Relationship Type="http://schemas.openxmlformats.org/officeDocument/2006/relationships/hyperlink" Id="rId19" Target="https://blueprint.ecohubs.community/articles/rcos-core/v0-1/layer-5-operations-coordination#77-layer-invariants" TargetMode="External" /><Relationship Type="http://schemas.openxmlformats.org/officeDocument/2006/relationships/hyperlink" Id="rId13" Target="https://blueprint.ecohubs.community/articles/rcos-templates" TargetMode="External" /><Relationship Type="http://schemas.openxmlformats.org/officeDocument/2006/relationships/hyperlink" Id="rId12" Target="https://blueprint.ecohubs.community/articles/rcos-templates/layer-5/operations-manua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2026-04-29T01:58:16Z</dcterms:created>
  <dcterms:modified xsi:type="dcterms:W3CDTF">2026-04-29T01:58:16Z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meta">
    <vt:lpwstr>Operations Manual</vt:lpwstr>
  </property>
</Properties>
</file>