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609600" cy="609600"/>
            <wp:effectExtent b="0" l="0" r="0" t="0"/>
            <wp:docPr descr="RCOS" title="" id="10" name="Picture"/>
            <a:graphic>
              <a:graphicData uri="http://schemas.openxmlformats.org/drawingml/2006/picture">
                <pic:pic>
                  <pic:nvPicPr>
                    <pic:cNvPr descr="/Users/el_stefano/Documents/Development/svelte/regenerative-community-blueprint/scripts/logo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RCOS — Regenerative Community Operating System</w:t>
      </w:r>
    </w:p>
    <w:bookmarkStart w:id="25" w:name="conflict-resolution-ladder"/>
    <w:p>
      <w:pPr>
        <w:pStyle w:val="Heading1"/>
      </w:pPr>
      <w:r>
        <w:t xml:space="preserve">Conflict Resolution Ladder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Generated:</w:t>
      </w:r>
      <w:r>
        <w:t xml:space="preserve"> </w:t>
      </w:r>
      <w:r>
        <w:t xml:space="preserve">2026-04-29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Source (latest version):</w:t>
      </w:r>
      <w:r>
        <w:t xml:space="preserve"> </w:t>
      </w:r>
      <w:hyperlink r:id="rId12">
        <w:r>
          <w:rPr>
            <w:rStyle w:val="Hyperlink"/>
          </w:rPr>
          <w:t xml:space="preserve">https://blueprint.ecohubs.community/articles/rcos-templates/layer-4/conflict-resolution-ladder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 RCOS templates:</w:t>
      </w:r>
      <w:r>
        <w:t xml:space="preserve"> </w:t>
      </w:r>
      <w:hyperlink r:id="rId13">
        <w:r>
          <w:rPr>
            <w:rStyle w:val="Hyperlink"/>
          </w:rPr>
          <w:t xml:space="preserve">https://blueprint.ecohubs.community/articles/rcos-templates</w:t>
        </w:r>
      </w:hyperlink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Layer:</w:t>
      </w:r>
      <w:r>
        <w:t xml:space="preserve"> </w:t>
      </w:r>
      <w:r>
        <w:t xml:space="preserve">4 — Conflict, Repair &amp; Accountability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Status:</w:t>
      </w:r>
      <w:r>
        <w:t xml:space="preserve"> </w:t>
      </w:r>
      <w:r>
        <w:t xml:space="preserve">Template — adapt for your community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RCOS reference:</w:t>
      </w:r>
      <w:r>
        <w:t xml:space="preserve"> </w:t>
      </w:r>
      <w:hyperlink r:id="rId14">
        <w:r>
          <w:rPr>
            <w:rStyle w:val="Hyperlink"/>
          </w:rPr>
          <w:t xml:space="preserve">§6.1</w:t>
        </w:r>
      </w:hyperlink>
      <w:r>
        <w:t xml:space="preserve">,</w:t>
      </w:r>
      <w:r>
        <w:t xml:space="preserve"> </w:t>
      </w:r>
      <w:hyperlink r:id="rId15">
        <w:r>
          <w:rPr>
            <w:rStyle w:val="Hyperlink"/>
          </w:rPr>
          <w:t xml:space="preserve">§6.2</w:t>
        </w:r>
      </w:hyperlink>
      <w:r>
        <w:t xml:space="preserve">,</w:t>
      </w:r>
      <w:r>
        <w:t xml:space="preserve"> </w:t>
      </w:r>
      <w:hyperlink r:id="rId16">
        <w:r>
          <w:rPr>
            <w:rStyle w:val="Hyperlink"/>
          </w:rPr>
          <w:t xml:space="preserve">§6.3</w:t>
        </w:r>
      </w:hyperlink>
      <w:r>
        <w:t xml:space="preserve">,</w:t>
      </w:r>
      <w:r>
        <w:t xml:space="preserve"> </w:t>
      </w:r>
      <w:hyperlink r:id="rId17">
        <w:r>
          <w:rPr>
            <w:rStyle w:val="Hyperlink"/>
          </w:rPr>
          <w:t xml:space="preserve">§6.5</w:t>
        </w:r>
      </w:hyperlink>
    </w:p>
    <w:p>
      <w:r>
        <w:pict>
          <v:rect style="width:0;height:1.5pt" o:hralign="center" o:hrstd="t" o:hr="t"/>
        </w:pict>
      </w:r>
    </w:p>
    <w:bookmarkStart w:id="18" w:name="conflict-classification"/>
    <w:p>
      <w:pPr>
        <w:pStyle w:val="Heading2"/>
      </w:pPr>
      <w:r>
        <w:t xml:space="preserve">Conflict Classification</w:t>
      </w:r>
    </w:p>
    <w:p>
      <w:pPr>
        <w:pStyle w:val="FirstParagraph"/>
      </w:pPr>
      <w:r>
        <w:rPr>
          <w:i/>
          <w:iCs/>
        </w:rPr>
        <w:t xml:space="preserve">RCOS clauses: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6.1.1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6.1.2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6.1.3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6.1.4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6.1.5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7">
        <w:r>
          <w:rPr>
            <w:rStyle w:val="Hyperlink"/>
            <w:i/>
            <w:iCs/>
          </w:rPr>
          <w:t xml:space="preserve">6.5.3</w:t>
        </w:r>
      </w:hyperlink>
    </w:p>
    <w:p>
      <w:pPr>
        <w:pStyle w:val="BlockText"/>
      </w:pPr>
      <w:r>
        <w:rPr>
          <w:b/>
          <w:bCs/>
        </w:rPr>
        <w:t xml:space="preserve">Rationale — Why classify conflicts at all</w:t>
      </w:r>
    </w:p>
    <w:p>
      <w:pPr>
        <w:pStyle w:val="BlockText"/>
      </w:pPr>
      <w:r>
        <w:t xml:space="preserve">Without named classes, every dispute gets treated the same — or worse, treated differently based on who is involved. Explicit classes set the entry point, the response window, and the documentation burden up front, so safety-critical matters cannot be quietly routed through a friendly chat and minor friction cannot be weaponized into a formal review.</w:t>
      </w:r>
    </w:p>
    <w:p>
      <w:pPr>
        <w:pStyle w:val="BlockText"/>
      </w:pPr>
      <w:r>
        <w:rPr>
          <w:b/>
          <w:bCs/>
        </w:rPr>
        <w:t xml:space="preserve">Instructions — How to fill this in</w:t>
      </w:r>
    </w:p>
    <w:p>
      <w:pPr>
        <w:pStyle w:val="BlockText"/>
      </w:pPr>
      <w:r>
        <w:t xml:space="preserve">For each class, set entry criteria, the entry step in the ladder, the initial response window, and the documentation burden.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Class</w:t>
            </w:r>
          </w:p>
        </w:tc>
        <w:tc>
          <w:tcPr/>
          <w:p>
            <w:pPr>
              <w:pStyle w:val="Compact"/>
            </w:pPr>
            <w:r>
              <w:t xml:space="preserve">Entry criteria</w:t>
            </w:r>
          </w:p>
        </w:tc>
        <w:tc>
          <w:tcPr/>
          <w:p>
            <w:pPr>
              <w:pStyle w:val="Compact"/>
            </w:pPr>
            <w:r>
              <w:t xml:space="preserve">Entry point</w:t>
            </w:r>
          </w:p>
        </w:tc>
        <w:tc>
          <w:tcPr/>
          <w:p>
            <w:pPr>
              <w:pStyle w:val="Compact"/>
            </w:pPr>
            <w:r>
              <w:t xml:space="preserve">Initial response window</w:t>
            </w:r>
          </w:p>
        </w:tc>
        <w:tc>
          <w:tcPr/>
          <w:p>
            <w:pPr>
              <w:pStyle w:val="Compact"/>
            </w:pPr>
            <w:r>
              <w:t xml:space="preserve">Documentation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&lt;Step 1&gt;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&lt;Ethical / obligation breach&gt;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&lt;…&gt;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&lt;credible safety risk, coercion, abuse, or threats&gt;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&lt;from intake; immediate action permitted&gt;</w:t>
            </w:r>
          </w:p>
        </w:tc>
      </w:tr>
    </w:tbl>
    <w:p>
      <w:pPr>
        <w:pStyle w:val="BlockText"/>
      </w:pPr>
      <w:r>
        <w:t xml:space="preserve">Safety-critical conflicts override participation rights, role continuity, and operational convenience.</w:t>
      </w:r>
    </w:p>
    <w:bookmarkEnd w:id="18"/>
    <w:bookmarkStart w:id="19" w:name="resolution-ladder-steps"/>
    <w:p>
      <w:pPr>
        <w:pStyle w:val="Heading2"/>
      </w:pPr>
      <w:r>
        <w:t xml:space="preserve">Resolution Ladder Steps</w:t>
      </w:r>
    </w:p>
    <w:p>
      <w:pPr>
        <w:pStyle w:val="FirstParagraph"/>
      </w:pPr>
      <w:r>
        <w:rPr>
          <w:i/>
          <w:iCs/>
        </w:rPr>
        <w:t xml:space="preserve">RCOS clauses: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6.2.1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6.2.2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6.2.3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6.2.4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6.2.5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7">
        <w:r>
          <w:rPr>
            <w:rStyle w:val="Hyperlink"/>
            <w:i/>
            <w:iCs/>
          </w:rPr>
          <w:t xml:space="preserve">6.5.3</w:t>
        </w:r>
      </w:hyperlink>
    </w:p>
    <w:p>
      <w:pPr>
        <w:pStyle w:val="BlockText"/>
      </w:pPr>
      <w:r>
        <w:rPr>
          <w:b/>
          <w:bCs/>
        </w:rPr>
        <w:t xml:space="preserve">Rationale — Why a stepped ladder instead of a single process</w:t>
      </w:r>
    </w:p>
    <w:p>
      <w:pPr>
        <w:pStyle w:val="BlockText"/>
      </w:pPr>
      <w:r>
        <w:t xml:space="preserve">Most conflict is low-stakes and best resolved between the people involved; forcing everything into formal review would kill trust and flood the governance system. A ladder matches process weight to dispute weight — private conversation first, facilitated dialogue next, written record only when needed, governance vote only when all else fails. It also makes escalation a structural right, not a favour granted by whoever holds social power.</w:t>
      </w:r>
    </w:p>
    <w:p>
      <w:pPr>
        <w:pStyle w:val="BlockText"/>
      </w:pPr>
      <w:r>
        <w:rPr>
          <w:b/>
          <w:bCs/>
        </w:rPr>
        <w:t xml:space="preserve">Instructions — How to fill this in</w:t>
      </w:r>
    </w:p>
    <w:p>
      <w:pPr>
        <w:pStyle w:val="BlockText"/>
      </w:pPr>
      <w:r>
        <w:t xml:space="preserve">Define each ladder step: who is involved, what happens, the time window, and the escalation rule. Keep the early steps light and confidential; reserve formal review for later steps.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Direct conversation</w:t>
      </w:r>
      <w:r>
        <w:t xml:space="preserve"> </w:t>
      </w:r>
      <w:r>
        <w:t xml:space="preserve">—</w:t>
      </w:r>
      <w:r>
        <w:t xml:space="preserve"> </w:t>
      </w:r>
      <w:r>
        <w:rPr>
          <w:i/>
          <w:iCs/>
        </w:rPr>
        <w:t xml:space="preserve">&lt;parties attempt to resolve privately; window; outcome rules.&gt;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Facilitated dialogue</w:t>
      </w:r>
      <w:r>
        <w:t xml:space="preserve"> </w:t>
      </w:r>
      <w:r>
        <w:t xml:space="preserve">—</w:t>
      </w:r>
      <w:r>
        <w:t xml:space="preserve"> </w:t>
      </w:r>
      <w:r>
        <w:rPr>
          <w:i/>
          <w:iCs/>
        </w:rPr>
        <w:t xml:space="preserve">&lt;facilitator hosts conversation; confidentiality; window; outcome rules.&gt;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Accountability intake</w:t>
      </w:r>
      <w:r>
        <w:t xml:space="preserve"> </w:t>
      </w:r>
      <w:r>
        <w:t xml:space="preserve">—</w:t>
      </w:r>
      <w:r>
        <w:t xml:space="preserve"> </w:t>
      </w:r>
      <w:r>
        <w:rPr>
          <w:i/>
          <w:iCs/>
        </w:rPr>
        <w:t xml:space="preserve">&lt;formal written record opened; submissions; window; outcome rules.&gt;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Accountability review</w:t>
      </w:r>
      <w:r>
        <w:t xml:space="preserve"> </w:t>
      </w:r>
      <w:r>
        <w:t xml:space="preserve">—</w:t>
      </w:r>
      <w:r>
        <w:t xml:space="preserve"> </w:t>
      </w:r>
      <w:r>
        <w:rPr>
          <w:i/>
          <w:iCs/>
        </w:rPr>
        <w:t xml:space="preserve">&lt;structured review; both parties present; written recommendation; window; outcome rules.&gt;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Governance decision</w:t>
      </w:r>
      <w:r>
        <w:t xml:space="preserve"> </w:t>
      </w:r>
      <w:r>
        <w:t xml:space="preserve">—</w:t>
      </w:r>
      <w:r>
        <w:t xml:space="preserve"> </w:t>
      </w:r>
      <w:r>
        <w:rPr>
          <w:i/>
          <w:iCs/>
        </w:rPr>
        <w:t xml:space="preserve">&lt;minimum-necessary disclosure to Full Members; deliberation period; vote mechanism and threshold.&gt;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Separation process</w:t>
      </w:r>
      <w:r>
        <w:t xml:space="preserve"> </w:t>
      </w:r>
      <w:r>
        <w:t xml:space="preserve">—</w:t>
      </w:r>
      <w:r>
        <w:t xml:space="preserve"> </w:t>
      </w:r>
      <w:r>
        <w:rPr>
          <w:i/>
          <w:iCs/>
        </w:rPr>
        <w:t xml:space="preserve">&lt;coordinated with the Exit &amp; Separation Protocol; minimum re-application block.&gt;</w:t>
      </w:r>
    </w:p>
    <w:bookmarkEnd w:id="19"/>
    <w:bookmarkStart w:id="20" w:name="non-response-withdrawal-and-deadlock"/>
    <w:p>
      <w:pPr>
        <w:pStyle w:val="Heading2"/>
      </w:pPr>
      <w:r>
        <w:t xml:space="preserve">Non-Response, Withdrawal, and Deadlock</w:t>
      </w:r>
    </w:p>
    <w:p>
      <w:pPr>
        <w:pStyle w:val="FirstParagraph"/>
      </w:pPr>
      <w:r>
        <w:rPr>
          <w:i/>
          <w:iCs/>
        </w:rPr>
        <w:t xml:space="preserve">RCOS clauses: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6.2.5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6.1.5</w:t>
        </w:r>
      </w:hyperlink>
    </w:p>
    <w:p>
      <w:pPr>
        <w:pStyle w:val="BlockText"/>
      </w:pPr>
      <w:r>
        <w:rPr>
          <w:b/>
          <w:bCs/>
        </w:rPr>
        <w:t xml:space="preserve">Rationale — What stops a process from being killed by silence</w:t>
      </w:r>
    </w:p>
    <w:p>
      <w:pPr>
        <w:pStyle w:val="BlockText"/>
      </w:pPr>
      <w:r>
        <w:t xml:space="preserve">The easiest way to defeat any accountability process is to ignore it. If non-response, withdrawal, or deadlock leaves the matter frozen, the party on the receiving end of harm carries the cost of the inaction. Explicit rules for each failure mode convert silence into a documented escalation trigger rather than a veto.</w:t>
      </w:r>
    </w:p>
    <w:p>
      <w:pPr>
        <w:pStyle w:val="BlockText"/>
      </w:pPr>
      <w:r>
        <w:rPr>
          <w:b/>
          <w:bCs/>
        </w:rPr>
        <w:t xml:space="preserve">Instructions — How to fill this in</w:t>
      </w:r>
    </w:p>
    <w:p>
      <w:pPr>
        <w:pStyle w:val="BlockText"/>
      </w:pPr>
      <w:r>
        <w:t xml:space="preserve">Define how non-response, mid-process withdrawal, deadlock, and procedural failure are handled. Each should have a documented escalation path.</w:t>
      </w:r>
    </w:p>
    <w:p>
      <w:pPr>
        <w:pStyle w:val="FirstParagraph"/>
      </w:pPr>
      <w:r>
        <w:rPr>
          <w:b/>
          <w:bCs/>
        </w:rPr>
        <w:t xml:space="preserve">If a party does not respond within the defined window: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&lt;Follow-up notice; additional grace period; treatment of continued silence as non-resolution; escalation rule.&gt;</w:t>
      </w:r>
    </w:p>
    <w:p>
      <w:pPr>
        <w:pStyle w:val="FirstParagraph"/>
      </w:pPr>
      <w:r>
        <w:rPr>
          <w:b/>
          <w:bCs/>
        </w:rPr>
        <w:t xml:space="preserve">If a party withdraws mid-process:</w:t>
      </w:r>
    </w:p>
    <w:p>
      <w:pPr>
        <w:pStyle w:val="Compact"/>
        <w:numPr>
          <w:ilvl w:val="0"/>
          <w:numId w:val="1005"/>
        </w:numPr>
      </w:pPr>
      <w:r>
        <w:rPr>
          <w:i/>
          <w:iCs/>
        </w:rPr>
        <w:t xml:space="preserve">&lt;Notification of withdrawal; option for the other party to close or request a written summary; escalation rule for outstanding accountability matters.&gt;</w:t>
      </w:r>
    </w:p>
    <w:p>
      <w:pPr>
        <w:pStyle w:val="FirstParagraph"/>
      </w:pPr>
      <w:r>
        <w:rPr>
          <w:b/>
          <w:bCs/>
        </w:rPr>
        <w:t xml:space="preserve">Deadlock (all resolution attempts exhausted):</w:t>
      </w:r>
    </w:p>
    <w:p>
      <w:pPr>
        <w:pStyle w:val="Compact"/>
        <w:numPr>
          <w:ilvl w:val="0"/>
          <w:numId w:val="1006"/>
        </w:numPr>
      </w:pPr>
      <w:r>
        <w:rPr>
          <w:i/>
          <w:iCs/>
        </w:rPr>
        <w:t xml:space="preserve">&lt;Documentation of the deadlock; escalation to governance decision.&gt;</w:t>
      </w:r>
    </w:p>
    <w:p>
      <w:pPr>
        <w:pStyle w:val="FirstParagraph"/>
      </w:pPr>
      <w:r>
        <w:rPr>
          <w:b/>
          <w:bCs/>
        </w:rPr>
        <w:t xml:space="preserve">Procedural failure review:</w:t>
      </w:r>
    </w:p>
    <w:p>
      <w:pPr>
        <w:pStyle w:val="Compact"/>
        <w:numPr>
          <w:ilvl w:val="0"/>
          <w:numId w:val="1007"/>
        </w:numPr>
      </w:pPr>
      <w:r>
        <w:rPr>
          <w:i/>
          <w:iCs/>
        </w:rPr>
        <w:t xml:space="preserve">&lt;How procedural objections are raised; where they are logged; trigger for review of this artifact under the Change Protocol.&gt;</w:t>
      </w:r>
    </w:p>
    <w:p>
      <w:r>
        <w:pict>
          <v:rect style="width:0;height:1.5pt" o:hralign="center" o:hrstd="t" o:hr="t"/>
        </w:pict>
      </w:r>
    </w:p>
    <w:bookmarkEnd w:id="20"/>
    <w:bookmarkStart w:id="21" w:name="facilitator-selection-and-replacement"/>
    <w:p>
      <w:pPr>
        <w:pStyle w:val="Heading2"/>
      </w:pPr>
      <w:r>
        <w:t xml:space="preserve">Facilitator Selection and Replacement</w:t>
      </w:r>
    </w:p>
    <w:p>
      <w:pPr>
        <w:pStyle w:val="FirstParagraph"/>
      </w:pPr>
      <w:r>
        <w:rPr>
          <w:i/>
          <w:iCs/>
        </w:rPr>
        <w:t xml:space="preserve">RCOS clauses:</w:t>
      </w:r>
      <w:r>
        <w:rPr>
          <w:i/>
          <w:iCs/>
        </w:rPr>
        <w:t xml:space="preserve"> </w:t>
      </w:r>
      <w:hyperlink r:id="rId16">
        <w:r>
          <w:rPr>
            <w:rStyle w:val="Hyperlink"/>
            <w:i/>
            <w:iCs/>
          </w:rPr>
          <w:t xml:space="preserve">6.3.1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6">
        <w:r>
          <w:rPr>
            <w:rStyle w:val="Hyperlink"/>
            <w:i/>
            <w:iCs/>
          </w:rPr>
          <w:t xml:space="preserve">6.3.3</w:t>
        </w:r>
      </w:hyperlink>
    </w:p>
    <w:p>
      <w:pPr>
        <w:pStyle w:val="BlockText"/>
      </w:pPr>
      <w:r>
        <w:rPr>
          <w:b/>
          <w:bCs/>
        </w:rPr>
        <w:t xml:space="preserve">Rationale — Why name how the Facilitator is chosen or replaced</w:t>
      </w:r>
    </w:p>
    <w:p>
      <w:pPr>
        <w:pStyle w:val="BlockText"/>
      </w:pPr>
      <w:r>
        <w:t xml:space="preserve">A facilitator who is implicated in the conflict — or socially aligned with one party — cannot hold the process fairly, no matter how good their intentions. Naming selection and replacement rules up front means the affected party does not have to fight for a neutral hearing while already under stress.</w:t>
      </w:r>
    </w:p>
    <w:p>
      <w:pPr>
        <w:pStyle w:val="BlockText"/>
      </w:pPr>
      <w:r>
        <w:rPr>
          <w:b/>
          <w:bCs/>
        </w:rPr>
        <w:t xml:space="preserve">Instructions — How to fill this in</w:t>
      </w:r>
    </w:p>
    <w:p>
      <w:pPr>
        <w:pStyle w:val="BlockText"/>
      </w:pPr>
      <w:r>
        <w:t xml:space="preserve">State the default facilitator role, the rule when the facilitator is a party, the right to decline, and any provision for external facilitation.</w:t>
      </w:r>
    </w:p>
    <w:p>
      <w:pPr>
        <w:pStyle w:val="Compact"/>
        <w:numPr>
          <w:ilvl w:val="0"/>
          <w:numId w:val="1008"/>
        </w:numPr>
      </w:pPr>
    </w:p>
    <w:p>
      <w:pPr>
        <w:pStyle w:val="Compact"/>
        <w:numPr>
          <w:ilvl w:val="0"/>
          <w:numId w:val="1008"/>
        </w:numPr>
      </w:pPr>
      <w:r>
        <w:rPr>
          <w:i/>
          <w:iCs/>
        </w:rPr>
        <w:t xml:space="preserve">&lt;Rule when the facilitator is a party — selection of a neutral substitute.&gt;</w:t>
      </w:r>
    </w:p>
    <w:p>
      <w:pPr>
        <w:pStyle w:val="Compact"/>
        <w:numPr>
          <w:ilvl w:val="0"/>
          <w:numId w:val="1008"/>
        </w:numPr>
      </w:pPr>
    </w:p>
    <w:p>
      <w:pPr>
        <w:pStyle w:val="Compact"/>
        <w:numPr>
          <w:ilvl w:val="0"/>
          <w:numId w:val="1008"/>
        </w:numPr>
      </w:pPr>
    </w:p>
    <w:bookmarkEnd w:id="21"/>
    <w:bookmarkStart w:id="22" w:name="X19f5fe057d25adae32f263c153bbffc77ee75e3"/>
    <w:p>
      <w:pPr>
        <w:pStyle w:val="Heading2"/>
      </w:pPr>
      <w:r>
        <w:t xml:space="preserve">Privacy and Information Access Boundaries</w:t>
      </w:r>
    </w:p>
    <w:p>
      <w:pPr>
        <w:pStyle w:val="FirstParagraph"/>
      </w:pPr>
      <w:r>
        <w:rPr>
          <w:i/>
          <w:iCs/>
        </w:rPr>
        <w:t xml:space="preserve">RCOS clauses:</w:t>
      </w:r>
      <w:r>
        <w:rPr>
          <w:i/>
          <w:iCs/>
        </w:rPr>
        <w:t xml:space="preserve"> </w:t>
      </w:r>
      <w:hyperlink r:id="rId17">
        <w:r>
          <w:rPr>
            <w:rStyle w:val="Hyperlink"/>
            <w:i/>
            <w:iCs/>
          </w:rPr>
          <w:t xml:space="preserve">6.5.3</w:t>
        </w:r>
      </w:hyperlink>
    </w:p>
    <w:p>
      <w:pPr>
        <w:pStyle w:val="BlockText"/>
      </w:pPr>
      <w:r>
        <w:rPr>
          <w:b/>
          <w:bCs/>
        </w:rPr>
        <w:t xml:space="preserve">Rationale — Why bound information flow so tightly</w:t>
      </w:r>
    </w:p>
    <w:p>
      <w:pPr>
        <w:pStyle w:val="BlockText"/>
      </w:pPr>
      <w:r>
        <w:t xml:space="preserve">Conflict records contain the most sensitive material the community holds. Leaks, gossip, or casual disclosure cause second-order harm and deter future reporting. Explicit boundaries — what stays with the parties, what reaches Full Members, and when records are destroyed — make confidentiality enforceable rather than aspirational.</w:t>
      </w:r>
    </w:p>
    <w:p>
      <w:pPr>
        <w:pStyle w:val="BlockText"/>
      </w:pPr>
      <w:r>
        <w:rPr>
          <w:b/>
          <w:bCs/>
        </w:rPr>
        <w:t xml:space="preserve">Instructions — How to fill this in</w:t>
      </w:r>
    </w:p>
    <w:p>
      <w:pPr>
        <w:pStyle w:val="BlockText"/>
      </w:pPr>
      <w:r>
        <w:t xml:space="preserve">State which steps are fully confidential, what minimum information may be disclosed at the governance step, the retention period, and the non-disclosure obligation.</w:t>
      </w:r>
    </w:p>
    <w:p>
      <w:pPr>
        <w:pStyle w:val="Compact"/>
        <w:numPr>
          <w:ilvl w:val="0"/>
          <w:numId w:val="1009"/>
        </w:numPr>
      </w:pPr>
      <w:r>
        <w:rPr>
          <w:i/>
          <w:iCs/>
        </w:rPr>
        <w:t xml:space="preserve">&lt;Steps 1–4: fully confidential; only parties and Facilitator may access records.&gt;</w:t>
      </w:r>
    </w:p>
    <w:p>
      <w:pPr>
        <w:pStyle w:val="Compact"/>
        <w:numPr>
          <w:ilvl w:val="0"/>
          <w:numId w:val="1009"/>
        </w:numPr>
      </w:pPr>
      <w:r>
        <w:rPr>
          <w:i/>
          <w:iCs/>
        </w:rPr>
        <w:t xml:space="preserve">&lt;Steps 5–6: minimum necessary information disclosed to Full Members; parties notified before disclosure. Define what</w:t>
      </w:r>
      <w:r>
        <w:rPr>
          <w:i/>
          <w:iCs/>
        </w:rPr>
        <w:t xml:space="preserve"> </w:t>
      </w:r>
      <w:r>
        <w:rPr>
          <w:i/>
          <w:iCs/>
        </w:rPr>
        <w:t xml:space="preserve">“minimum necessary”</w:t>
      </w:r>
      <w:r>
        <w:rPr>
          <w:i/>
          <w:iCs/>
        </w:rPr>
        <w:t xml:space="preserve"> </w:t>
      </w:r>
      <w:r>
        <w:rPr>
          <w:i/>
          <w:iCs/>
        </w:rPr>
        <w:t xml:space="preserve">means.&gt;</w:t>
      </w:r>
    </w:p>
    <w:p>
      <w:pPr>
        <w:pStyle w:val="Compact"/>
        <w:numPr>
          <w:ilvl w:val="0"/>
          <w:numId w:val="1009"/>
        </w:numPr>
      </w:pPr>
      <w:r>
        <w:rPr>
          <w:i/>
          <w:iCs/>
        </w:rPr>
        <w:t xml:space="preserve">&lt;Record retention: who holds records, for how long, then destroyed.&gt;</w:t>
      </w:r>
    </w:p>
    <w:p>
      <w:pPr>
        <w:pStyle w:val="Compact"/>
        <w:numPr>
          <w:ilvl w:val="0"/>
          <w:numId w:val="1009"/>
        </w:numPr>
      </w:pPr>
      <w:r>
        <w:rPr>
          <w:i/>
          <w:iCs/>
        </w:rPr>
        <w:t xml:space="preserve">&lt;Non-disclosure: no participant may share information about the process outside the defined participants without written consent of all parties.&gt;</w:t>
      </w:r>
    </w:p>
    <w:bookmarkEnd w:id="22"/>
    <w:bookmarkStart w:id="23" w:name="safeguards"/>
    <w:p>
      <w:pPr>
        <w:pStyle w:val="Heading2"/>
      </w:pPr>
      <w:r>
        <w:t xml:space="preserve">Safeguards</w:t>
      </w:r>
    </w:p>
    <w:p>
      <w:pPr>
        <w:pStyle w:val="FirstParagraph"/>
      </w:pPr>
      <w:r>
        <w:rPr>
          <w:i/>
          <w:iCs/>
        </w:rPr>
        <w:t xml:space="preserve">RCOS clauses:</w:t>
      </w:r>
      <w:r>
        <w:rPr>
          <w:i/>
          <w:iCs/>
        </w:rPr>
        <w:t xml:space="preserve"> </w:t>
      </w:r>
      <w:hyperlink r:id="rId16">
        <w:r>
          <w:rPr>
            <w:rStyle w:val="Hyperlink"/>
            <w:i/>
            <w:iCs/>
          </w:rPr>
          <w:t xml:space="preserve">6.3.1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6">
        <w:r>
          <w:rPr>
            <w:rStyle w:val="Hyperlink"/>
            <w:i/>
            <w:iCs/>
          </w:rPr>
          <w:t xml:space="preserve">6.3.2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6">
        <w:r>
          <w:rPr>
            <w:rStyle w:val="Hyperlink"/>
            <w:i/>
            <w:iCs/>
          </w:rPr>
          <w:t xml:space="preserve">6.3.3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6">
        <w:r>
          <w:rPr>
            <w:rStyle w:val="Hyperlink"/>
            <w:i/>
            <w:iCs/>
          </w:rPr>
          <w:t xml:space="preserve">6.3.4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6">
        <w:r>
          <w:rPr>
            <w:rStyle w:val="Hyperlink"/>
            <w:i/>
            <w:iCs/>
          </w:rPr>
          <w:t xml:space="preserve">6.3.5</w:t>
        </w:r>
      </w:hyperlink>
    </w:p>
    <w:p>
      <w:pPr>
        <w:pStyle w:val="BlockText"/>
      </w:pPr>
      <w:r>
        <w:rPr>
          <w:b/>
          <w:bCs/>
        </w:rPr>
        <w:t xml:space="preserve">Rationale — Why do safeguards exist on top of the ladder</w:t>
      </w:r>
    </w:p>
    <w:p>
      <w:pPr>
        <w:pStyle w:val="BlockText"/>
      </w:pPr>
      <w:r>
        <w:t xml:space="preserve">Process alone does not protect the party with less power. Retaliation, bad-faith complaints, conflicted facilitators, and unreviewed safety risks can all neutralize an otherwise good procedure. Safeguards are the backstops that keep the ladder functional when incentives push against honest reporting.</w:t>
      </w:r>
    </w:p>
    <w:p>
      <w:pPr>
        <w:pStyle w:val="BlockText"/>
      </w:pPr>
      <w:r>
        <w:rPr>
          <w:b/>
          <w:bCs/>
        </w:rPr>
        <w:t xml:space="preserve">Instructions — How to fill this in</w:t>
      </w:r>
    </w:p>
    <w:p>
      <w:pPr>
        <w:pStyle w:val="BlockText"/>
      </w:pPr>
      <w:r>
        <w:t xml:space="preserve">For each safeguard, state the rule and the consequence when it is violated. Power-differential cases need their own intake channel.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Anti-retaliation:</w:t>
      </w:r>
      <w:r>
        <w:t xml:space="preserve"> 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Bad-faith complaints:</w:t>
      </w:r>
      <w:r>
        <w:t xml:space="preserve"> 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Facilitator conflict of interest:</w:t>
      </w:r>
      <w:r>
        <w:t xml:space="preserve"> 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Process pause:</w:t>
      </w:r>
      <w:r>
        <w:t xml:space="preserve"> 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Safety-critical immediate action:</w:t>
      </w:r>
      <w:r>
        <w:t xml:space="preserve"> </w:t>
      </w:r>
      <w:r>
        <w:rPr>
          <w:i/>
          <w:iCs/>
        </w:rPr>
        <w:t xml:space="preserve">&lt;facilitator may recommend a temporary access restriction pending review; review window.&gt;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Power differential — separate intake channel:</w:t>
      </w:r>
      <w:r>
        <w:t xml:space="preserve"> </w:t>
      </w:r>
      <w:r>
        <w:rPr>
          <w:i/>
          <w:iCs/>
        </w:rPr>
        <w:t xml:space="preserve">&lt;where a power differential exists, the affected member may submit intake directly to a body other than the standard Facilitator.&gt;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Role suspension during review:</w:t>
      </w:r>
      <w:r>
        <w:t xml:space="preserve"> </w:t>
      </w:r>
      <w:r>
        <w:rPr>
          <w:i/>
          <w:iCs/>
        </w:rPr>
        <w:t xml:space="preserve">&lt;Full Members may temporarily suspend a role holder’s delegated authority during review without constituting forced exit.&gt;</w:t>
      </w:r>
    </w:p>
    <w:p>
      <w:r>
        <w:pict>
          <v:rect style="width:0;height:1.5pt" o:hralign="center" o:hrstd="t" o:hr="t"/>
        </w:pict>
      </w:r>
    </w:p>
    <w:bookmarkEnd w:id="23"/>
    <w:bookmarkStart w:id="24" w:name="ratification-record"/>
    <w:p>
      <w:pPr>
        <w:pStyle w:val="Heading2"/>
      </w:pPr>
      <w:r>
        <w:t xml:space="preserve">Ratification Record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Adopted:</w:t>
      </w:r>
      <w:r>
        <w:t xml:space="preserve"> 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Decision type:</w:t>
      </w:r>
      <w:r>
        <w:t xml:space="preserve"> </w:t>
      </w:r>
      <w:r>
        <w:t xml:space="preserve">Strategic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Version:</w:t>
      </w:r>
      <w:r>
        <w:t xml:space="preserve"> 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Decision record:</w:t>
      </w:r>
      <w:r>
        <w:t xml:space="preserve"> </w:t>
      </w:r>
    </w:p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4" Target="https://blueprint.ecohubs.community/articles/rcos-core/v0-1/layer-4-conflict-repair-accountability#61-conflict-classification" TargetMode="External" /><Relationship Type="http://schemas.openxmlformats.org/officeDocument/2006/relationships/hyperlink" Id="rId15" Target="https://blueprint.ecohubs.community/articles/rcos-core/v0-1/layer-4-conflict-repair-accountability#62-resolution-pathways" TargetMode="External" /><Relationship Type="http://schemas.openxmlformats.org/officeDocument/2006/relationships/hyperlink" Id="rId16" Target="https://blueprint.ecohubs.community/articles/rcos-core/v0-1/layer-4-conflict-repair-accountability#63-safeguards" TargetMode="External" /><Relationship Type="http://schemas.openxmlformats.org/officeDocument/2006/relationships/hyperlink" Id="rId17" Target="https://blueprint.ecohubs.community/articles/rcos-core/v0-1/layer-4-conflict-repair-accountability#65-artifacts" TargetMode="External" /><Relationship Type="http://schemas.openxmlformats.org/officeDocument/2006/relationships/hyperlink" Id="rId13" Target="https://blueprint.ecohubs.community/articles/rcos-templates" TargetMode="External" /><Relationship Type="http://schemas.openxmlformats.org/officeDocument/2006/relationships/hyperlink" Id="rId12" Target="https://blueprint.ecohubs.community/articles/rcos-templates/layer-4/conflict-resolution-ladde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4" Target="https://blueprint.ecohubs.community/articles/rcos-core/v0-1/layer-4-conflict-repair-accountability#61-conflict-classification" TargetMode="External" /><Relationship Type="http://schemas.openxmlformats.org/officeDocument/2006/relationships/hyperlink" Id="rId15" Target="https://blueprint.ecohubs.community/articles/rcos-core/v0-1/layer-4-conflict-repair-accountability#62-resolution-pathways" TargetMode="External" /><Relationship Type="http://schemas.openxmlformats.org/officeDocument/2006/relationships/hyperlink" Id="rId16" Target="https://blueprint.ecohubs.community/articles/rcos-core/v0-1/layer-4-conflict-repair-accountability#63-safeguards" TargetMode="External" /><Relationship Type="http://schemas.openxmlformats.org/officeDocument/2006/relationships/hyperlink" Id="rId17" Target="https://blueprint.ecohubs.community/articles/rcos-core/v0-1/layer-4-conflict-repair-accountability#65-artifacts" TargetMode="External" /><Relationship Type="http://schemas.openxmlformats.org/officeDocument/2006/relationships/hyperlink" Id="rId13" Target="https://blueprint.ecohubs.community/articles/rcos-templates" TargetMode="External" /><Relationship Type="http://schemas.openxmlformats.org/officeDocument/2006/relationships/hyperlink" Id="rId12" Target="https://blueprint.ecohubs.community/articles/rcos-templates/layer-4/conflict-resolution-ladd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2026-04-29T01:58:15Z</dcterms:created>
  <dcterms:modified xsi:type="dcterms:W3CDTF">2026-04-29T01:58:15Z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-meta">
    <vt:lpwstr>Conflict Resolution Ladder</vt:lpwstr>
  </property>
</Properties>
</file>