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Regenerative Community Operating System</w:t>
      </w:r>
    </w:p>
    <w:bookmarkStart w:id="25" w:name="accountability-protocol"/>
    <w:p>
      <w:pPr>
        <w:pStyle w:val="Heading1"/>
      </w:pPr>
      <w:r>
        <w:t xml:space="preserve">Accountability Protocol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Generated: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Source (latest version):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https://blueprint.ecohubs.community/articles/rcos-templates/layer-4/accountability-protocol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RCOS templates: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Layer:</w:t>
      </w:r>
      <w:r>
        <w:t xml:space="preserve"> </w:t>
      </w:r>
      <w:r>
        <w:t xml:space="preserve">4 — Conflict, Repair &amp; Accountability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Status:</w:t>
      </w:r>
      <w:r>
        <w:t xml:space="preserve"> </w:t>
      </w:r>
      <w:r>
        <w:t xml:space="preserve">Template — adapt for your community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RCOS reference:</w:t>
      </w:r>
      <w:r>
        <w:t xml:space="preserve"> </w:t>
      </w:r>
      <w:hyperlink r:id="rId14">
        <w:r>
          <w:rPr>
            <w:rStyle w:val="Hyperlink"/>
          </w:rPr>
          <w:t xml:space="preserve">§6.4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§6.5</w:t>
        </w:r>
      </w:hyperlink>
    </w:p>
    <w:p>
      <w:r>
        <w:pict>
          <v:rect style="width:0;height:1.5pt" o:hralign="center" o:hrstd="t" o:hr="t"/>
        </w:pict>
      </w:r>
    </w:p>
    <w:bookmarkStart w:id="16" w:name="triggers"/>
    <w:p>
      <w:pPr>
        <w:pStyle w:val="Heading2"/>
      </w:pPr>
      <w:r>
        <w:t xml:space="preserve">Triggers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6.5.4</w:t>
        </w:r>
      </w:hyperlink>
    </w:p>
    <w:p>
      <w:pPr>
        <w:pStyle w:val="BlockText"/>
      </w:pPr>
      <w:r>
        <w:rPr>
          <w:b/>
          <w:bCs/>
        </w:rPr>
        <w:t xml:space="preserve">Rationale — Why enumerate what starts an accountability check</w:t>
      </w:r>
    </w:p>
    <w:p>
      <w:pPr>
        <w:pStyle w:val="BlockText"/>
      </w:pPr>
      <w:r>
        <w:t xml:space="preserve">If accountability checks only happen when someone feels strongly enough to push, they become political. Naming the exact triggers — inactivity, breach, invariant violation, referral — means the process starts from a condition anyone can verify, not from a judgement about a person.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List the specific, verifiable triggers that initiate an accountability check. Each trigger should be observable from records or a direct referral.</w:t>
      </w:r>
    </w:p>
    <w:p>
      <w:pPr>
        <w:pStyle w:val="FirstParagraph"/>
      </w:pPr>
      <w:r>
        <w:t xml:space="preserve">An accountability check is initiated when:</w:t>
      </w:r>
    </w:p>
    <w:p>
      <w:pPr>
        <w:pStyle w:val="Compact"/>
        <w:numPr>
          <w:ilvl w:val="0"/>
          <w:numId w:val="1003"/>
        </w:numPr>
      </w:pPr>
    </w:p>
    <w:p>
      <w:pPr>
        <w:pStyle w:val="Compact"/>
        <w:numPr>
          <w:ilvl w:val="0"/>
          <w:numId w:val="1003"/>
        </w:numPr>
      </w:pP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&lt;A member has violated a Layer 0 identity constraint or invariant.&gt;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&lt;A referral is made from the Conflict Resolution Ladder (Step 3 or above).&gt;</w:t>
      </w:r>
    </w:p>
    <w:bookmarkEnd w:id="16"/>
    <w:bookmarkStart w:id="17" w:name="investigation-and-review"/>
    <w:p>
      <w:pPr>
        <w:pStyle w:val="Heading2"/>
      </w:pPr>
      <w:r>
        <w:t xml:space="preserve">Investigation and Review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6.4.6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6.5.4</w:t>
        </w:r>
      </w:hyperlink>
    </w:p>
    <w:p>
      <w:pPr>
        <w:pStyle w:val="BlockText"/>
      </w:pPr>
      <w:r>
        <w:rPr>
          <w:b/>
          <w:bCs/>
        </w:rPr>
        <w:t xml:space="preserve">Rationale — Why graduate the response by severity</w:t>
      </w:r>
    </w:p>
    <w:p>
      <w:pPr>
        <w:pStyle w:val="BlockText"/>
      </w:pPr>
      <w:r>
        <w:t xml:space="preserve">Treating a missed contribution the same as an invariant violation either crushes minor cases with heavy process or lets serious ones slip through a private chat. Graduated pathways — soft check-in, medium written notice, direct escalation for serious breaches — match response weight to breach weight and keep repair the default where repair is still possible.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Define soft (inactivity), medium (obligation breach), and serious (invariant violation, safety) pathways. State who initiates, the response window, and the escalation route for each.</w:t>
      </w:r>
    </w:p>
    <w:p>
      <w:pPr>
        <w:pStyle w:val="BlockText"/>
      </w:pPr>
      <w:r>
        <w:rPr>
          <w:b/>
          <w:bCs/>
        </w:rPr>
        <w:t xml:space="preserve">Breach severity guidance:</w:t>
      </w:r>
      <w:r>
        <w:t xml:space="preserve"> </w:t>
      </w:r>
      <w:r>
        <w:rPr>
          <w:i/>
          <w:iCs/>
        </w:rPr>
        <w:t xml:space="preserve">&lt;medium = non-compliance with a Membership Agreement obligation that does not threaten member safety or community integrity; serious = Layer 0 invariant violation, credible safety concern, persistent bad-faith conduct.&gt;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Inactivity (soft breach):</w:t>
      </w:r>
      <w:r>
        <w:t xml:space="preserve"> </w:t>
      </w:r>
      <w:r>
        <w:rPr>
          <w:i/>
          <w:iCs/>
        </w:rPr>
        <w:t xml:space="preserve">&lt;who contacts the member; response window; outcome paths.&gt;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Obligation breach (medium):</w:t>
      </w:r>
      <w:r>
        <w:t xml:space="preserve"> </w:t>
      </w:r>
      <w:r>
        <w:rPr>
          <w:i/>
          <w:iCs/>
        </w:rPr>
        <w:t xml:space="preserve">&lt;written notice; response window; resolution / escalation paths.&gt;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Serious breach / invariant violation:</w:t>
      </w:r>
      <w:r>
        <w:t xml:space="preserve"> </w:t>
      </w:r>
    </w:p>
    <w:bookmarkEnd w:id="17"/>
    <w:bookmarkStart w:id="18" w:name="due-process-guarantees"/>
    <w:p>
      <w:pPr>
        <w:pStyle w:val="Heading2"/>
      </w:pPr>
      <w:r>
        <w:t xml:space="preserve">Due Process Guarantees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6.5.4</w:t>
        </w:r>
      </w:hyperlink>
    </w:p>
    <w:p>
      <w:pPr>
        <w:pStyle w:val="BlockText"/>
      </w:pPr>
      <w:r>
        <w:rPr>
          <w:b/>
          <w:bCs/>
        </w:rPr>
        <w:t xml:space="preserve">Rationale — Why spell out notice, response, and appeal rights</w:t>
      </w:r>
    </w:p>
    <w:p>
      <w:pPr>
        <w:pStyle w:val="BlockText"/>
      </w:pPr>
      <w:r>
        <w:t xml:space="preserve">Accountability without due process is just punishment with paperwork. A member facing a sanction needs to know the concern, have real time to respond, and have somewhere to appeal to — otherwise the deciding body’s word is final by default, which concentrates power exactly where it should not concentrate.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the right to written notice, a minimum response window, and an explicit appeal path to Full Members.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Right to notice:</w:t>
      </w:r>
      <w:r>
        <w:t xml:space="preserve"> 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Right to respond:</w:t>
      </w:r>
      <w:r>
        <w:t xml:space="preserve"> </w:t>
      </w:r>
      <w:r>
        <w:rPr>
          <w:i/>
          <w:iCs/>
        </w:rPr>
        <w:t xml:space="preserve">&lt;minimum response window — e.g. 30 days.&gt;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Right to appeal:</w:t>
      </w:r>
      <w:r>
        <w:t xml:space="preserve"> </w:t>
      </w:r>
      <w:r>
        <w:rPr>
          <w:i/>
          <w:iCs/>
        </w:rPr>
        <w:t xml:space="preserve">&lt;any decision may be appealed via the governance process (Strategic vote).&gt;</w:t>
      </w:r>
    </w:p>
    <w:bookmarkEnd w:id="18"/>
    <w:bookmarkStart w:id="20" w:name="anti-retaliation-protections"/>
    <w:p>
      <w:pPr>
        <w:pStyle w:val="Heading2"/>
      </w:pPr>
      <w:r>
        <w:t xml:space="preserve">Anti-Retaliation Protections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9">
        <w:r>
          <w:rPr>
            <w:rStyle w:val="Hyperlink"/>
            <w:i/>
            <w:iCs/>
          </w:rPr>
          <w:t xml:space="preserve">6.3.2</w:t>
        </w:r>
      </w:hyperlink>
    </w:p>
    <w:p>
      <w:pPr>
        <w:pStyle w:val="BlockText"/>
      </w:pPr>
      <w:r>
        <w:rPr>
          <w:b/>
          <w:bCs/>
        </w:rPr>
        <w:t xml:space="preserve">Rationale — Why protect participants explicitly</w:t>
      </w:r>
    </w:p>
    <w:p>
      <w:pPr>
        <w:pStyle w:val="BlockText"/>
      </w:pPr>
      <w:r>
        <w:t xml:space="preserve">If raising a concern or giving information can cost a member standing, relationships, or access, people will stay silent and the accountability system collapses in practice. Naming retaliation as itself a trigger makes the cost of suppression higher than the cost of reporting.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that retaliation against any member who raises, participates in, or gives information to an accountability process is itself an accountability trigger.</w:t>
      </w:r>
    </w:p>
    <w:p>
      <w:pPr>
        <w:pStyle w:val="FirstParagraph"/>
      </w:pPr>
    </w:p>
    <w:bookmarkEnd w:id="20"/>
    <w:bookmarkStart w:id="21" w:name="sanction-and-repair-options"/>
    <w:p>
      <w:pPr>
        <w:pStyle w:val="Heading2"/>
      </w:pPr>
      <w:r>
        <w:t xml:space="preserve">Sanction and Repair Options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6.4.6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6.5.4</w:t>
        </w:r>
      </w:hyperlink>
    </w:p>
    <w:p>
      <w:pPr>
        <w:pStyle w:val="BlockText"/>
      </w:pPr>
      <w:r>
        <w:rPr>
          <w:b/>
          <w:bCs/>
        </w:rPr>
        <w:t xml:space="preserve">Rationale — Why pre-define the menu of sanctions</w:t>
      </w:r>
    </w:p>
    <w:p>
      <w:pPr>
        <w:pStyle w:val="BlockText"/>
      </w:pPr>
      <w:r>
        <w:t xml:space="preserve">Ad-hoc sanctions invented mid-process reflect whoever is loudest in the room, not what the breach warrants. A fixed menu — with preconditions, authorized body, and appeal path for each — keeps responses proportional, prevents informal exclusion from becoming the default punishment, and makes it obvious when a sanction is out of scope for the body applying it.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For each sanction type, define preconditions, authorized body, and appeal path. Repair-oriented responses should be the default; punitive ones reserved for safety-critical or unresolved breaches.</w:t>
      </w:r>
    </w:p>
    <w:p>
      <w:pPr>
        <w:pStyle w:val="BlockText"/>
      </w:pPr>
      <w:r>
        <w:t xml:space="preserve">Repair-oriented responses are preferred over punitive ones except in safety-critical cases.</w:t>
      </w:r>
      <w:r>
        <w:t xml:space="preserve"> </w:t>
      </w:r>
      <w:r>
        <w:t xml:space="preserve">Sanctions must be proportional, time-bounded where applicable, documented, and never applied through informal exclusion or social pressure.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Preconditions</w:t>
            </w:r>
          </w:p>
        </w:tc>
        <w:tc>
          <w:tcPr/>
          <w:p>
            <w:pPr>
              <w:pStyle w:val="Compact"/>
            </w:pPr>
            <w:r>
              <w:t xml:space="preserve">Authorized body</w:t>
            </w:r>
          </w:p>
        </w:tc>
        <w:tc>
          <w:tcPr/>
          <w:p>
            <w:pPr>
              <w:pStyle w:val="Compact"/>
            </w:pPr>
            <w:r>
              <w:t xml:space="preserve">Appealable?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&lt;Private check-in / reminder&gt;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&lt;safety-critical situation; review window&gt;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&lt;serious or unresolved breach, or Full Member decision&gt;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&lt;yes — re-vote&gt;</w:t>
            </w:r>
          </w:p>
        </w:tc>
      </w:tr>
    </w:tbl>
    <w:bookmarkEnd w:id="21"/>
    <w:bookmarkStart w:id="22" w:name="conditions-for-restoring-rights"/>
    <w:p>
      <w:pPr>
        <w:pStyle w:val="Heading2"/>
      </w:pPr>
      <w:r>
        <w:t xml:space="preserve">Conditions for Restoring Rights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6.4.4</w:t>
        </w:r>
      </w:hyperlink>
    </w:p>
    <w:p>
      <w:pPr>
        <w:pStyle w:val="BlockText"/>
      </w:pPr>
      <w:r>
        <w:rPr>
          <w:b/>
          <w:bCs/>
        </w:rPr>
        <w:t xml:space="preserve">Rationale — Why make restoration conditions explicit</w:t>
      </w:r>
    </w:p>
    <w:p>
      <w:pPr>
        <w:pStyle w:val="BlockText"/>
      </w:pPr>
      <w:r>
        <w:t xml:space="preserve">If there is no defined path back, every sanction becomes effectively permanent and every exit becomes a life sentence. Explicit restoration conditions signal that accountability is about repair where repair is possible, and they prevent post-hoc gatekeeping about whether someone is</w:t>
      </w:r>
      <w:r>
        <w:t xml:space="preserve"> </w:t>
      </w:r>
      <w:r>
        <w:t xml:space="preserve">“really”</w:t>
      </w:r>
      <w:r>
        <w:t xml:space="preserve"> </w:t>
      </w:r>
      <w:r>
        <w:t xml:space="preserve">welcome back.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For each sanction class, state the path to restoration of rights — re-application after voluntary exit, re-application block after forced exit, restoration after temporary restriction.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After voluntary exit:</w:t>
      </w:r>
      <w:r>
        <w:t xml:space="preserve"> </w:t>
      </w:r>
      <w:r>
        <w:rPr>
          <w:i/>
          <w:iCs/>
        </w:rPr>
        <w:t xml:space="preserve">&lt;re-application via Onboarding Protocol; no automatic restoration.&gt;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After forced exit:</w:t>
      </w:r>
      <w:r>
        <w:t xml:space="preserve"> </w:t>
      </w:r>
      <w:r>
        <w:rPr>
          <w:i/>
          <w:iCs/>
        </w:rPr>
        <w:t xml:space="preserve">&lt;minimum re-application block; standard admission process applies.&gt;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After temporary access restriction:</w:t>
      </w:r>
      <w:r>
        <w:t xml:space="preserve"> </w:t>
      </w:r>
    </w:p>
    <w:bookmarkEnd w:id="22"/>
    <w:bookmarkStart w:id="23" w:name="coordination-with-layer-1"/>
    <w:p>
      <w:pPr>
        <w:pStyle w:val="Heading2"/>
      </w:pPr>
      <w:r>
        <w:t xml:space="preserve">Coordination with Layer 1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6.4.4</w:t>
        </w:r>
      </w:hyperlink>
    </w:p>
    <w:p>
      <w:pPr>
        <w:pStyle w:val="BlockText"/>
      </w:pPr>
      <w:r>
        <w:rPr>
          <w:b/>
          <w:bCs/>
        </w:rPr>
        <w:t xml:space="preserve">Rationale — Why tie this to the Exit &amp; Separation Protocol</w:t>
      </w:r>
    </w:p>
    <w:p>
      <w:pPr>
        <w:pStyle w:val="BlockText"/>
      </w:pPr>
      <w:r>
        <w:t xml:space="preserve">Exit rules live in Layer 1 for a reason — they govern who is and is not a member. If accountability actions created their own parallel exit path, there would be two sets of rules, two sets of records, and a loophole for skipping due process. One canonical exit protocol closes that gap.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that all forced exits and temporary access restrictions follow the Exit &amp; Separation Protocol (Layer 1), and clarify that a temporary restriction does not constitute exit.</w:t>
      </w:r>
    </w:p>
    <w:p>
      <w:pPr>
        <w:pStyle w:val="FirstParagraph"/>
      </w:pPr>
      <w:r>
        <w:rPr>
          <w:i/>
          <w:iCs/>
        </w:rPr>
        <w:t xml:space="preserve">&lt;All forced exits and temporary access restrictions follow the Exit &amp; Separation Protocol (Layer 1). A temporary access restriction does not constitute exit and does not trigger the re-application block unless a forced exit is subsequently voted by Full Members.&gt;</w:t>
      </w:r>
    </w:p>
    <w:p>
      <w:r>
        <w:pict>
          <v:rect style="width:0;height:1.5pt" o:hralign="center" o:hrstd="t" o:hr="t"/>
        </w:pict>
      </w:r>
    </w:p>
    <w:bookmarkEnd w:id="23"/>
    <w:bookmarkStart w:id="24" w:name="ratification-record"/>
    <w:p>
      <w:pPr>
        <w:pStyle w:val="Heading2"/>
      </w:pPr>
      <w:r>
        <w:t xml:space="preserve">Ratification Record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Adopted:</w:t>
      </w:r>
      <w:r>
        <w:t xml:space="preserve"> 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Decision type:</w:t>
      </w:r>
      <w:r>
        <w:t xml:space="preserve"> </w:t>
      </w:r>
      <w:r>
        <w:t xml:space="preserve">Strategic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Version:</w:t>
      </w:r>
      <w:r>
        <w:t xml:space="preserve"> 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Decision record:</w:t>
      </w:r>
      <w:r>
        <w:t xml:space="preserve"> 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9" Target="https://blueprint.ecohubs.community/articles/rcos-core/v0-1/layer-4-conflict-repair-accountability#63-safeguards" TargetMode="External" /><Relationship Type="http://schemas.openxmlformats.org/officeDocument/2006/relationships/hyperlink" Id="rId14" Target="https://blueprint.ecohubs.community/articles/rcos-core/v0-1/layer-4-conflict-repair-accountability#64-sanctions-repair-and-separation" TargetMode="External" /><Relationship Type="http://schemas.openxmlformats.org/officeDocument/2006/relationships/hyperlink" Id="rId15" Target="https://blueprint.ecohubs.community/articles/rcos-core/v0-1/layer-4-conflict-repair-accountability#65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4/accountability-protoco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" Target="https://blueprint.ecohubs.community/articles/rcos-core/v0-1/layer-4-conflict-repair-accountability#63-safeguards" TargetMode="External" /><Relationship Type="http://schemas.openxmlformats.org/officeDocument/2006/relationships/hyperlink" Id="rId14" Target="https://blueprint.ecohubs.community/articles/rcos-core/v0-1/layer-4-conflict-repair-accountability#64-sanctions-repair-and-separation" TargetMode="External" /><Relationship Type="http://schemas.openxmlformats.org/officeDocument/2006/relationships/hyperlink" Id="rId15" Target="https://blueprint.ecohubs.community/articles/rcos-core/v0-1/layer-4-conflict-repair-accountability#65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4/accountability-protoco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2026-04-29T01:58:15Z</dcterms:created>
  <dcterms:modified xsi:type="dcterms:W3CDTF">2026-04-29T01:58:15Z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Accountability Protocol</vt:lpwstr>
  </property>
</Properties>
</file>