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9.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609600" cy="609600"/>
            <wp:effectExtent b="0" l="0" r="0" t="0"/>
            <wp:docPr descr="RCOS" title="" id="10" name="Picture"/>
            <a:graphic>
              <a:graphicData uri="http://schemas.openxmlformats.org/drawingml/2006/picture">
                <pic:pic>
                  <pic:nvPicPr>
                    <pic:cNvPr descr="/Users/el_stefano/Documents/Development/svelte/regenerative-community-blueprint/scripts/logo.png" id="11" name="Picture"/>
                    <pic:cNvPicPr>
                      <a:picLocks noChangeArrowheads="1" noChangeAspect="1"/>
                    </pic:cNvPicPr>
                  </pic:nvPicPr>
                  <pic:blipFill>
                    <a:blip r:embed="rId9"/>
                    <a:stretch>
                      <a:fillRect/>
                    </a:stretch>
                  </pic:blipFill>
                  <pic:spPr bwMode="auto">
                    <a:xfrm>
                      <a:off x="0" y="0"/>
                      <a:ext cx="609600" cy="609600"/>
                    </a:xfrm>
                    <a:prstGeom prst="rect">
                      <a:avLst/>
                    </a:prstGeom>
                    <a:noFill/>
                    <a:ln w="9525">
                      <a:noFill/>
                      <a:headEnd/>
                      <a:tailEnd/>
                    </a:ln>
                  </pic:spPr>
                </pic:pic>
              </a:graphicData>
            </a:graphic>
          </wp:inline>
        </w:drawing>
      </w:r>
      <w:r>
        <w:t xml:space="preserve"> </w:t>
      </w:r>
      <w:r>
        <w:rPr>
          <w:b/>
          <w:bCs/>
        </w:rPr>
        <w:t xml:space="preserve">RCOS — Regenerative Community Operating System</w:t>
      </w:r>
    </w:p>
    <w:bookmarkStart w:id="28" w:name="internal-economy-protocol"/>
    <w:p>
      <w:pPr>
        <w:pStyle w:val="Heading1"/>
      </w:pPr>
      <w:r>
        <w:t xml:space="preserve">Internal Economy Protocol</w:t>
      </w:r>
    </w:p>
    <w:p>
      <w:pPr>
        <w:pStyle w:val="Compact"/>
        <w:numPr>
          <w:ilvl w:val="0"/>
          <w:numId w:val="1001"/>
        </w:numPr>
      </w:pPr>
      <w:r>
        <w:rPr>
          <w:b/>
          <w:bCs/>
        </w:rPr>
        <w:t xml:space="preserve">Generated:</w:t>
      </w:r>
      <w:r>
        <w:t xml:space="preserve"> </w:t>
      </w:r>
      <w:r>
        <w:t xml:space="preserve">2026-04-29</w:t>
      </w:r>
    </w:p>
    <w:p>
      <w:pPr>
        <w:pStyle w:val="Compact"/>
        <w:numPr>
          <w:ilvl w:val="0"/>
          <w:numId w:val="1001"/>
        </w:numPr>
      </w:pPr>
      <w:r>
        <w:rPr>
          <w:b/>
          <w:bCs/>
        </w:rPr>
        <w:t xml:space="preserve">Source (latest version):</w:t>
      </w:r>
      <w:r>
        <w:t xml:space="preserve"> </w:t>
      </w:r>
      <w:hyperlink r:id="rId12">
        <w:r>
          <w:rPr>
            <w:rStyle w:val="Hyperlink"/>
          </w:rPr>
          <w:t xml:space="preserve">https://blueprint.ecohubs.community/articles/rcos-templates/layer-3/internal-economy-protocol</w:t>
        </w:r>
      </w:hyperlink>
    </w:p>
    <w:p>
      <w:pPr>
        <w:pStyle w:val="Compact"/>
        <w:numPr>
          <w:ilvl w:val="0"/>
          <w:numId w:val="1001"/>
        </w:numPr>
      </w:pPr>
      <w:r>
        <w:rPr>
          <w:b/>
          <w:bCs/>
        </w:rPr>
        <w:t xml:space="preserve">All RCOS templates:</w:t>
      </w:r>
      <w:r>
        <w:t xml:space="preserve"> </w:t>
      </w:r>
      <w:hyperlink r:id="rId13">
        <w:r>
          <w:rPr>
            <w:rStyle w:val="Hyperlink"/>
          </w:rPr>
          <w:t xml:space="preserve">https://blueprint.ecohubs.community/articles/rcos-templates</w:t>
        </w:r>
      </w:hyperlink>
    </w:p>
    <w:p>
      <w:r>
        <w:pict>
          <v:rect style="width:0;height:1.5pt" o:hralign="center" o:hrstd="t" o:hr="t"/>
        </w:pict>
      </w:r>
    </w:p>
    <w:p>
      <w:pPr>
        <w:pStyle w:val="Compact"/>
        <w:numPr>
          <w:ilvl w:val="0"/>
          <w:numId w:val="1002"/>
        </w:numPr>
      </w:pPr>
      <w:r>
        <w:rPr>
          <w:b/>
          <w:bCs/>
        </w:rPr>
        <w:t xml:space="preserve">Layer:</w:t>
      </w:r>
      <w:r>
        <w:t xml:space="preserve"> </w:t>
      </w:r>
      <w:r>
        <w:t xml:space="preserve">3 — Economic &amp; Resource System</w:t>
      </w:r>
    </w:p>
    <w:p>
      <w:pPr>
        <w:pStyle w:val="Compact"/>
        <w:numPr>
          <w:ilvl w:val="0"/>
          <w:numId w:val="1002"/>
        </w:numPr>
      </w:pPr>
      <w:r>
        <w:rPr>
          <w:b/>
          <w:bCs/>
        </w:rPr>
        <w:t xml:space="preserve">Status:</w:t>
      </w:r>
      <w:r>
        <w:t xml:space="preserve"> </w:t>
      </w:r>
      <w:r>
        <w:t xml:space="preserve">Template — adapt for your community</w:t>
      </w:r>
    </w:p>
    <w:p>
      <w:pPr>
        <w:pStyle w:val="Compact"/>
        <w:numPr>
          <w:ilvl w:val="0"/>
          <w:numId w:val="1002"/>
        </w:numPr>
      </w:pPr>
      <w:r>
        <w:rPr>
          <w:b/>
          <w:bCs/>
        </w:rPr>
        <w:t xml:space="preserve">RCOS reference:</w:t>
      </w:r>
      <w:r>
        <w:t xml:space="preserve"> </w:t>
      </w:r>
      <w:hyperlink r:id="rId14">
        <w:r>
          <w:rPr>
            <w:rStyle w:val="Hyperlink"/>
          </w:rPr>
          <w:t xml:space="preserve">§5.1</w:t>
        </w:r>
      </w:hyperlink>
      <w:r>
        <w:t xml:space="preserve">,</w:t>
      </w:r>
      <w:r>
        <w:t xml:space="preserve"> </w:t>
      </w:r>
      <w:hyperlink r:id="rId15">
        <w:r>
          <w:rPr>
            <w:rStyle w:val="Hyperlink"/>
          </w:rPr>
          <w:t xml:space="preserve">§5.2</w:t>
        </w:r>
      </w:hyperlink>
      <w:r>
        <w:t xml:space="preserve">,</w:t>
      </w:r>
      <w:r>
        <w:t xml:space="preserve"> </w:t>
      </w:r>
      <w:hyperlink r:id="rId16">
        <w:r>
          <w:rPr>
            <w:rStyle w:val="Hyperlink"/>
          </w:rPr>
          <w:t xml:space="preserve">§5.4</w:t>
        </w:r>
      </w:hyperlink>
      <w:r>
        <w:t xml:space="preserve">,</w:t>
      </w:r>
      <w:r>
        <w:t xml:space="preserve"> </w:t>
      </w:r>
      <w:hyperlink r:id="rId17">
        <w:r>
          <w:rPr>
            <w:rStyle w:val="Hyperlink"/>
          </w:rPr>
          <w:t xml:space="preserve">§5.5</w:t>
        </w:r>
      </w:hyperlink>
    </w:p>
    <w:p>
      <w:r>
        <w:pict>
          <v:rect style="width:0;height:1.5pt" o:hralign="center" o:hrstd="t" o:hr="t"/>
        </w:pict>
      </w:r>
    </w:p>
    <w:bookmarkStart w:id="19" w:name="commons-vs-private-classification"/>
    <w:p>
      <w:pPr>
        <w:pStyle w:val="Heading2"/>
      </w:pPr>
      <w:r>
        <w:t xml:space="preserve">Commons vs. Private Classification</w:t>
      </w:r>
    </w:p>
    <w:p>
      <w:pPr>
        <w:pStyle w:val="FirstParagraph"/>
      </w:pPr>
      <w:r>
        <w:rPr>
          <w:i/>
          <w:iCs/>
        </w:rPr>
        <w:t xml:space="preserve">RCOS clauses:</w:t>
      </w:r>
      <w:r>
        <w:rPr>
          <w:i/>
          <w:iCs/>
        </w:rPr>
        <w:t xml:space="preserve"> </w:t>
      </w:r>
      <w:hyperlink r:id="rId14">
        <w:r>
          <w:rPr>
            <w:rStyle w:val="Hyperlink"/>
            <w:i/>
            <w:iCs/>
          </w:rPr>
          <w:t xml:space="preserve">5.1.1</w:t>
        </w:r>
      </w:hyperlink>
      <w:r>
        <w:rPr>
          <w:i/>
          <w:iCs/>
        </w:rPr>
        <w:t xml:space="preserve">,</w:t>
      </w:r>
      <w:r>
        <w:rPr>
          <w:i/>
          <w:iCs/>
        </w:rPr>
        <w:t xml:space="preserve"> </w:t>
      </w:r>
      <w:hyperlink r:id="rId14">
        <w:r>
          <w:rPr>
            <w:rStyle w:val="Hyperlink"/>
            <w:i/>
            <w:iCs/>
          </w:rPr>
          <w:t xml:space="preserve">5.1.2</w:t>
        </w:r>
      </w:hyperlink>
      <w:r>
        <w:rPr>
          <w:i/>
          <w:iCs/>
        </w:rPr>
        <w:t xml:space="preserve">,</w:t>
      </w:r>
      <w:r>
        <w:rPr>
          <w:i/>
          <w:iCs/>
        </w:rPr>
        <w:t xml:space="preserve"> </w:t>
      </w:r>
      <w:hyperlink r:id="rId14">
        <w:r>
          <w:rPr>
            <w:rStyle w:val="Hyperlink"/>
            <w:i/>
            <w:iCs/>
          </w:rPr>
          <w:t xml:space="preserve">5.1.3</w:t>
        </w:r>
      </w:hyperlink>
      <w:r>
        <w:rPr>
          <w:i/>
          <w:iCs/>
        </w:rPr>
        <w:t xml:space="preserve">,</w:t>
      </w:r>
      <w:r>
        <w:rPr>
          <w:i/>
          <w:iCs/>
        </w:rPr>
        <w:t xml:space="preserve"> </w:t>
      </w:r>
      <w:hyperlink r:id="rId14">
        <w:r>
          <w:rPr>
            <w:rStyle w:val="Hyperlink"/>
            <w:i/>
            <w:iCs/>
          </w:rPr>
          <w:t xml:space="preserve">5.1.4</w:t>
        </w:r>
      </w:hyperlink>
      <w:r>
        <w:rPr>
          <w:i/>
          <w:iCs/>
        </w:rPr>
        <w:t xml:space="preserve">,</w:t>
      </w:r>
      <w:r>
        <w:rPr>
          <w:i/>
          <w:iCs/>
        </w:rPr>
        <w:t xml:space="preserve"> </w:t>
      </w:r>
      <w:hyperlink r:id="rId14">
        <w:r>
          <w:rPr>
            <w:rStyle w:val="Hyperlink"/>
            <w:i/>
            <w:iCs/>
          </w:rPr>
          <w:t xml:space="preserve">5.1.5</w:t>
        </w:r>
      </w:hyperlink>
      <w:r>
        <w:rPr>
          <w:i/>
          <w:iCs/>
        </w:rPr>
        <w:t xml:space="preserve">,</w:t>
      </w:r>
      <w:r>
        <w:rPr>
          <w:i/>
          <w:iCs/>
        </w:rPr>
        <w:t xml:space="preserve"> </w:t>
      </w:r>
      <w:hyperlink r:id="rId18">
        <w:r>
          <w:rPr>
            <w:rStyle w:val="Hyperlink"/>
            <w:i/>
            <w:iCs/>
          </w:rPr>
          <w:t xml:space="preserve">5.6.2</w:t>
        </w:r>
      </w:hyperlink>
    </w:p>
    <w:p>
      <w:pPr>
        <w:pStyle w:val="BlockText"/>
      </w:pPr>
      <w:r>
        <w:rPr>
          <w:b/>
          <w:bCs/>
        </w:rPr>
        <w:t xml:space="preserve">Rationale — Why classify every resource</w:t>
      </w:r>
    </w:p>
    <w:p>
      <w:pPr>
        <w:pStyle w:val="BlockText"/>
      </w:pPr>
      <w:r>
        <w:t xml:space="preserve">Unclassified resources are where quiet privatization happens — someone starts treating a shared asset as personal, or a private asset gets quietly absorbed into community obligations, and by the time anyone notices the norm has shifted. Explicit classification, with stewards and transfer rules named up front, makes any change to that status a visible governance act rather than a creeping fact.</w:t>
      </w:r>
    </w:p>
    <w:p>
      <w:pPr>
        <w:pStyle w:val="BlockText"/>
      </w:pPr>
      <w:r>
        <w:rPr>
          <w:b/>
          <w:bCs/>
        </w:rPr>
        <w:t xml:space="preserve">Instructions — How to fill this in</w:t>
      </w:r>
    </w:p>
    <w:p>
      <w:pPr>
        <w:pStyle w:val="BlockText"/>
      </w:pPr>
      <w:r>
        <w:t xml:space="preserve">For each resource the community holds, declare classification (Commons / Private), name a steward, define access rules, and state transfer constraints. Unclassified resources must not be allocated, encumbered, monetized, or transferred until classified.</w:t>
      </w:r>
    </w:p>
    <w:tbl>
      <w:tblPr>
        <w:tblStyle w:val="Table"/>
        <w:tblW w:type="auto" w:w="0"/>
        <w:tblLook w:firstRow="1" w:lastRow="0" w:firstColumn="0" w:lastColumn="0" w:noHBand="0" w:noVBand="0" w:val="0020"/>
      </w:tblPr>
      <w:tblGrid>
        <w:gridCol w:w="1584"/>
        <w:gridCol w:w="1584"/>
        <w:gridCol w:w="1584"/>
        <w:gridCol w:w="1584"/>
        <w:gridCol w:w="1584"/>
      </w:tblGrid>
      <w:tr>
        <w:trPr>
          <w:tblHeader w:val="on"/>
        </w:trPr>
        <w:tc>
          <w:tcPr/>
          <w:p>
            <w:pPr>
              <w:pStyle w:val="Compact"/>
            </w:pPr>
            <w:r>
              <w:t xml:space="preserve">Resource</w:t>
            </w:r>
          </w:p>
        </w:tc>
        <w:tc>
          <w:tcPr/>
          <w:p>
            <w:pPr>
              <w:pStyle w:val="Compact"/>
            </w:pPr>
            <w:r>
              <w:t xml:space="preserve">Classification</w:t>
            </w:r>
          </w:p>
        </w:tc>
        <w:tc>
          <w:tcPr/>
          <w:p>
            <w:pPr>
              <w:pStyle w:val="Compact"/>
            </w:pPr>
            <w:r>
              <w:t xml:space="preserve">Steward</w:t>
            </w:r>
          </w:p>
        </w:tc>
        <w:tc>
          <w:tcPr/>
          <w:p>
            <w:pPr>
              <w:pStyle w:val="Compact"/>
            </w:pPr>
            <w:r>
              <w:t xml:space="preserve">Access rules</w:t>
            </w:r>
          </w:p>
        </w:tc>
        <w:tc>
          <w:tcPr/>
          <w:p>
            <w:pPr>
              <w:pStyle w:val="Compact"/>
            </w:pPr>
            <w:r>
              <w:t xml:space="preserve">Transfer constraints</w:t>
            </w:r>
          </w:p>
        </w:tc>
      </w:tr>
      <w:tr>
        <w:tc>
          <w:tcPr/>
          <w:p>
            <w:pPr>
              <w:pStyle w:val="Compact"/>
            </w:pPr>
            <w:r>
              <w:rPr>
                <w:i/>
                <w:iCs/>
              </w:rPr>
              <w:t xml:space="preserve">&lt;e.g. RCOS specification and artifacts&gt;</w:t>
            </w:r>
          </w:p>
        </w:tc>
        <w:tc>
          <w:tcPr/>
          <w:p>
            <w:pPr>
              <w:pStyle w:val="Compact"/>
            </w:pPr>
            <w:r>
              <w:rPr>
                <w:i/>
                <w:iCs/>
              </w:rPr>
              <w:t xml:space="preserve">&lt;Commons / Private&gt;</w:t>
            </w:r>
          </w:p>
        </w:tc>
        <w:tc>
          <w:tcPr/>
          <w:p>
            <w:pPr>
              <w:pStyle w:val="Compact"/>
            </w:pPr>
          </w:p>
        </w:tc>
        <w:tc>
          <w:tcPr/>
          <w:p>
            <w:pPr>
              <w:pStyle w:val="Compact"/>
            </w:pPr>
            <w:r>
              <w:rPr>
                <w:i/>
                <w:iCs/>
              </w:rPr>
              <w:t xml:space="preserve">&lt;who reads / writes&gt;</w:t>
            </w:r>
          </w:p>
        </w:tc>
        <w:tc>
          <w:tcPr/>
          <w:p>
            <w:pPr>
              <w:pStyle w:val="Compact"/>
            </w:pPr>
          </w:p>
        </w:tc>
      </w:tr>
      <w:tr>
        <w:tc>
          <w:tcPr/>
          <w:p>
            <w:pPr>
              <w:pStyle w:val="Compact"/>
            </w:pPr>
            <w:r>
              <w:rPr>
                <w:i/>
                <w:iCs/>
              </w:rPr>
              <w:t xml:space="preserve">&lt;e.g. Shared treasury&gt;</w:t>
            </w:r>
          </w:p>
        </w:tc>
        <w:tc>
          <w:tcPr/>
          <w:p>
            <w:pPr>
              <w:pStyle w:val="Compact"/>
            </w:pPr>
            <w:r>
              <w:rPr>
                <w:i/>
                <w:iCs/>
              </w:rPr>
              <w:t xml:space="preserve">&lt;…&gt;</w:t>
            </w:r>
          </w:p>
        </w:tc>
        <w:tc>
          <w:tcPr/>
          <w:p>
            <w:pPr>
              <w:pStyle w:val="Compact"/>
            </w:pPr>
            <w:r>
              <w:rPr>
                <w:i/>
                <w:iCs/>
              </w:rPr>
              <w:t xml:space="preserve">&lt;…&gt;</w:t>
            </w:r>
          </w:p>
        </w:tc>
        <w:tc>
          <w:tcPr/>
          <w:p>
            <w:pPr>
              <w:pStyle w:val="Compact"/>
            </w:pPr>
            <w:r>
              <w:rPr>
                <w:i/>
                <w:iCs/>
              </w:rPr>
              <w:t xml:space="preserve">&lt;…&gt;</w:t>
            </w:r>
          </w:p>
        </w:tc>
        <w:tc>
          <w:tcPr/>
          <w:p>
            <w:pPr>
              <w:pStyle w:val="Compact"/>
            </w:pPr>
            <w:r>
              <w:rPr>
                <w:i/>
                <w:iCs/>
              </w:rPr>
              <w:t xml:space="preserve">&lt;…&gt;</w:t>
            </w:r>
          </w:p>
        </w:tc>
      </w:tr>
      <w:tr>
        <w:tc>
          <w:tcPr/>
          <w:p>
            <w:pPr>
              <w:pStyle w:val="Compact"/>
            </w:pPr>
            <w:r>
              <w:rPr>
                <w:i/>
                <w:iCs/>
              </w:rPr>
              <w:t xml:space="preserve">&lt;e.g. Community website / domains&gt;</w:t>
            </w:r>
          </w:p>
        </w:tc>
        <w:tc>
          <w:tcPr/>
          <w:p>
            <w:pPr>
              <w:pStyle w:val="Compact"/>
            </w:pPr>
            <w:r>
              <w:rPr>
                <w:i/>
                <w:iCs/>
              </w:rPr>
              <w:t xml:space="preserve">&lt;…&gt;</w:t>
            </w:r>
          </w:p>
        </w:tc>
        <w:tc>
          <w:tcPr/>
          <w:p>
            <w:pPr>
              <w:pStyle w:val="Compact"/>
            </w:pPr>
            <w:r>
              <w:rPr>
                <w:i/>
                <w:iCs/>
              </w:rPr>
              <w:t xml:space="preserve">&lt;…&gt;</w:t>
            </w:r>
          </w:p>
        </w:tc>
        <w:tc>
          <w:tcPr/>
          <w:p>
            <w:pPr>
              <w:pStyle w:val="Compact"/>
            </w:pPr>
            <w:r>
              <w:rPr>
                <w:i/>
                <w:iCs/>
              </w:rPr>
              <w:t xml:space="preserve">&lt;…&gt;</w:t>
            </w:r>
          </w:p>
        </w:tc>
        <w:tc>
          <w:tcPr/>
          <w:p>
            <w:pPr>
              <w:pStyle w:val="Compact"/>
            </w:pPr>
            <w:r>
              <w:rPr>
                <w:i/>
                <w:iCs/>
              </w:rPr>
              <w:t xml:space="preserve">&lt;…&gt;</w:t>
            </w:r>
          </w:p>
        </w:tc>
      </w:tr>
      <w:tr>
        <w:tc>
          <w:tcPr/>
          <w:p>
            <w:pPr>
              <w:pStyle w:val="Compact"/>
            </w:pPr>
            <w:r>
              <w:rPr>
                <w:i/>
                <w:iCs/>
              </w:rPr>
              <w:t xml:space="preserve">&lt;e.g. Brand and social accounts&gt;</w:t>
            </w:r>
          </w:p>
        </w:tc>
        <w:tc>
          <w:tcPr/>
          <w:p>
            <w:pPr>
              <w:pStyle w:val="Compact"/>
            </w:pPr>
            <w:r>
              <w:rPr>
                <w:i/>
                <w:iCs/>
              </w:rPr>
              <w:t xml:space="preserve">&lt;…&gt;</w:t>
            </w:r>
          </w:p>
        </w:tc>
        <w:tc>
          <w:tcPr/>
          <w:p>
            <w:pPr>
              <w:pStyle w:val="Compact"/>
            </w:pPr>
            <w:r>
              <w:rPr>
                <w:i/>
                <w:iCs/>
              </w:rPr>
              <w:t xml:space="preserve">&lt;…&gt;</w:t>
            </w:r>
          </w:p>
        </w:tc>
        <w:tc>
          <w:tcPr/>
          <w:p>
            <w:pPr>
              <w:pStyle w:val="Compact"/>
            </w:pPr>
            <w:r>
              <w:rPr>
                <w:i/>
                <w:iCs/>
              </w:rPr>
              <w:t xml:space="preserve">&lt;…&gt;</w:t>
            </w:r>
          </w:p>
        </w:tc>
        <w:tc>
          <w:tcPr/>
          <w:p>
            <w:pPr>
              <w:pStyle w:val="Compact"/>
            </w:pPr>
            <w:r>
              <w:rPr>
                <w:i/>
                <w:iCs/>
              </w:rPr>
              <w:t xml:space="preserve">&lt;…&gt;</w:t>
            </w:r>
          </w:p>
        </w:tc>
      </w:tr>
      <w:tr>
        <w:tc>
          <w:tcPr/>
          <w:p>
            <w:pPr>
              <w:pStyle w:val="Compact"/>
            </w:pPr>
            <w:r>
              <w:rPr>
                <w:i/>
                <w:iCs/>
              </w:rPr>
              <w:t xml:space="preserve">&lt;e.g. Land or physical infrastructure&gt;</w:t>
            </w:r>
          </w:p>
        </w:tc>
        <w:tc>
          <w:tcPr/>
          <w:p>
            <w:pPr>
              <w:pStyle w:val="Compact"/>
            </w:pPr>
            <w:r>
              <w:rPr>
                <w:i/>
                <w:iCs/>
              </w:rPr>
              <w:t xml:space="preserve">&lt;…&gt;</w:t>
            </w:r>
          </w:p>
        </w:tc>
        <w:tc>
          <w:tcPr/>
          <w:p>
            <w:pPr>
              <w:pStyle w:val="Compact"/>
            </w:pPr>
            <w:r>
              <w:rPr>
                <w:i/>
                <w:iCs/>
              </w:rPr>
              <w:t xml:space="preserve">&lt;…&gt;</w:t>
            </w:r>
          </w:p>
        </w:tc>
        <w:tc>
          <w:tcPr/>
          <w:p>
            <w:pPr>
              <w:pStyle w:val="Compact"/>
            </w:pPr>
            <w:r>
              <w:rPr>
                <w:i/>
                <w:iCs/>
              </w:rPr>
              <w:t xml:space="preserve">&lt;…&gt;</w:t>
            </w:r>
          </w:p>
        </w:tc>
        <w:tc>
          <w:tcPr/>
          <w:p>
            <w:pPr>
              <w:pStyle w:val="Compact"/>
            </w:pPr>
            <w:r>
              <w:rPr>
                <w:i/>
                <w:iCs/>
              </w:rPr>
              <w:t xml:space="preserve">&lt;…&gt;</w:t>
            </w:r>
          </w:p>
        </w:tc>
      </w:tr>
    </w:tbl>
    <w:p>
      <w:pPr>
        <w:pStyle w:val="BlockText"/>
      </w:pPr>
      <w:r>
        <w:t xml:space="preserve">Any unclassified resource must not be allocated, encumbered, monetized, or transferred until classification is completed.</w:t>
      </w:r>
    </w:p>
    <w:bookmarkEnd w:id="19"/>
    <w:bookmarkStart w:id="20" w:name="recognized-contribution-categories"/>
    <w:p>
      <w:pPr>
        <w:pStyle w:val="Heading2"/>
      </w:pPr>
      <w:r>
        <w:t xml:space="preserve">Recognized Contribution Categories</w:t>
      </w:r>
    </w:p>
    <w:p>
      <w:pPr>
        <w:pStyle w:val="FirstParagraph"/>
      </w:pPr>
      <w:r>
        <w:rPr>
          <w:i/>
          <w:iCs/>
        </w:rPr>
        <w:t xml:space="preserve">RCOS clauses:</w:t>
      </w:r>
      <w:r>
        <w:rPr>
          <w:i/>
          <w:iCs/>
        </w:rPr>
        <w:t xml:space="preserve"> </w:t>
      </w:r>
      <w:hyperlink r:id="rId15">
        <w:r>
          <w:rPr>
            <w:rStyle w:val="Hyperlink"/>
            <w:i/>
            <w:iCs/>
          </w:rPr>
          <w:t xml:space="preserve">5.2.1</w:t>
        </w:r>
      </w:hyperlink>
      <w:r>
        <w:rPr>
          <w:i/>
          <w:iCs/>
        </w:rPr>
        <w:t xml:space="preserve">,</w:t>
      </w:r>
      <w:r>
        <w:rPr>
          <w:i/>
          <w:iCs/>
        </w:rPr>
        <w:t xml:space="preserve"> </w:t>
      </w:r>
      <w:hyperlink r:id="rId15">
        <w:r>
          <w:rPr>
            <w:rStyle w:val="Hyperlink"/>
            <w:i/>
            <w:iCs/>
          </w:rPr>
          <w:t xml:space="preserve">5.2.3</w:t>
        </w:r>
      </w:hyperlink>
      <w:r>
        <w:rPr>
          <w:i/>
          <w:iCs/>
        </w:rPr>
        <w:t xml:space="preserve">,</w:t>
      </w:r>
      <w:r>
        <w:rPr>
          <w:i/>
          <w:iCs/>
        </w:rPr>
        <w:t xml:space="preserve"> </w:t>
      </w:r>
      <w:hyperlink r:id="rId18">
        <w:r>
          <w:rPr>
            <w:rStyle w:val="Hyperlink"/>
            <w:i/>
            <w:iCs/>
          </w:rPr>
          <w:t xml:space="preserve">5.6.3</w:t>
        </w:r>
      </w:hyperlink>
    </w:p>
    <w:p>
      <w:pPr>
        <w:pStyle w:val="BlockText"/>
      </w:pPr>
      <w:r>
        <w:rPr>
          <w:b/>
          <w:bCs/>
        </w:rPr>
        <w:t xml:space="preserve">Rationale — Why name the kinds of work that count</w:t>
      </w:r>
    </w:p>
    <w:p>
      <w:pPr>
        <w:pStyle w:val="BlockText"/>
      </w:pPr>
      <w:r>
        <w:t xml:space="preserve">If the community never says out loud which kinds of work it depends on, the invisible work — care, facilitation, moderation, stewardship — stays invisible, and the people doing it burn out or leave. Enumerating categories converts</w:t>
      </w:r>
      <w:r>
        <w:t xml:space="preserve"> </w:t>
      </w:r>
      <w:r>
        <w:t xml:space="preserve">“someone just does this”</w:t>
      </w:r>
      <w:r>
        <w:t xml:space="preserve"> </w:t>
      </w:r>
      <w:r>
        <w:t xml:space="preserve">into recognized labour the system has to account for.</w:t>
      </w:r>
    </w:p>
    <w:p>
      <w:pPr>
        <w:pStyle w:val="BlockText"/>
      </w:pPr>
      <w:r>
        <w:rPr>
          <w:b/>
          <w:bCs/>
        </w:rPr>
        <w:t xml:space="preserve">Instructions — How to fill this in</w:t>
      </w:r>
    </w:p>
    <w:p>
      <w:pPr>
        <w:pStyle w:val="BlockText"/>
      </w:pPr>
      <w:r>
        <w:t xml:space="preserve">List the categories of contribution your community recognizes. Care, facilitation, stewardship, and informal participation are commonly under-recognized — name them explicitly if they apply.</w:t>
      </w:r>
    </w:p>
    <w:tbl>
      <w:tblPr>
        <w:tblStyle w:val="Table"/>
        <w:tblW w:type="auto" w:w="0"/>
        <w:tblLook w:firstRow="1" w:lastRow="0" w:firstColumn="0" w:lastColumn="0" w:noHBand="0" w:noVBand="0" w:val="0020"/>
      </w:tblPr>
      <w:tblGrid>
        <w:gridCol w:w="3960"/>
        <w:gridCol w:w="3960"/>
      </w:tblGrid>
      <w:tr>
        <w:trPr>
          <w:tblHeader w:val="on"/>
        </w:trPr>
        <w:tc>
          <w:tcPr/>
          <w:p>
            <w:pPr>
              <w:pStyle w:val="Compact"/>
            </w:pPr>
            <w:r>
              <w:t xml:space="preserve">Category</w:t>
            </w:r>
          </w:p>
        </w:tc>
        <w:tc>
          <w:tcPr/>
          <w:p>
            <w:pPr>
              <w:pStyle w:val="Compact"/>
            </w:pPr>
            <w:r>
              <w:t xml:space="preserve">Examples</w:t>
            </w:r>
          </w:p>
        </w:tc>
      </w:tr>
      <w:tr>
        <w:tc>
          <w:tcPr/>
          <w:p>
            <w:pPr>
              <w:pStyle w:val="Compact"/>
            </w:pPr>
            <w:r>
              <w:rPr>
                <w:i/>
                <w:iCs/>
              </w:rPr>
              <w:t xml:space="preserve">&lt;e.g. Knowledge &amp; Research&gt;</w:t>
            </w:r>
          </w:p>
        </w:tc>
        <w:tc>
          <w:tcPr/>
          <w:p>
            <w:pPr>
              <w:pStyle w:val="Compact"/>
            </w:pPr>
          </w:p>
        </w:tc>
      </w:tr>
      <w:tr>
        <w:tc>
          <w:tcPr/>
          <w:p>
            <w:pPr>
              <w:pStyle w:val="Compact"/>
            </w:pPr>
            <w:r>
              <w:rPr>
                <w:i/>
                <w:iCs/>
              </w:rPr>
              <w:t xml:space="preserve">&lt;e.g. Technical Development&gt;</w:t>
            </w:r>
          </w:p>
        </w:tc>
        <w:tc>
          <w:tcPr/>
          <w:p>
            <w:pPr>
              <w:pStyle w:val="Compact"/>
            </w:pPr>
          </w:p>
        </w:tc>
      </w:tr>
      <w:tr>
        <w:tc>
          <w:tcPr/>
          <w:p>
            <w:pPr>
              <w:pStyle w:val="Compact"/>
            </w:pPr>
            <w:r>
              <w:rPr>
                <w:i/>
                <w:iCs/>
              </w:rPr>
              <w:t xml:space="preserve">&lt;e.g. Governance &amp; Coordination&gt;</w:t>
            </w:r>
          </w:p>
        </w:tc>
        <w:tc>
          <w:tcPr/>
          <w:p>
            <w:pPr>
              <w:pStyle w:val="Compact"/>
            </w:pPr>
          </w:p>
        </w:tc>
      </w:tr>
      <w:tr>
        <w:tc>
          <w:tcPr/>
          <w:p>
            <w:pPr>
              <w:pStyle w:val="Compact"/>
            </w:pPr>
            <w:r>
              <w:rPr>
                <w:i/>
                <w:iCs/>
              </w:rPr>
              <w:t xml:space="preserve">&lt;e.g. Community Building&gt;</w:t>
            </w:r>
          </w:p>
        </w:tc>
        <w:tc>
          <w:tcPr/>
          <w:p>
            <w:pPr>
              <w:pStyle w:val="Compact"/>
            </w:pPr>
          </w:p>
        </w:tc>
      </w:tr>
      <w:tr>
        <w:tc>
          <w:tcPr/>
          <w:p>
            <w:pPr>
              <w:pStyle w:val="Compact"/>
            </w:pPr>
            <w:r>
              <w:rPr>
                <w:i/>
                <w:iCs/>
              </w:rPr>
              <w:t xml:space="preserve">&lt;e.g. Care &amp; Support&gt;</w:t>
            </w:r>
          </w:p>
        </w:tc>
        <w:tc>
          <w:tcPr/>
          <w:p>
            <w:pPr>
              <w:pStyle w:val="Compact"/>
            </w:pPr>
          </w:p>
        </w:tc>
      </w:tr>
      <w:tr>
        <w:tc>
          <w:tcPr/>
          <w:p>
            <w:pPr>
              <w:pStyle w:val="Compact"/>
            </w:pPr>
            <w:r>
              <w:rPr>
                <w:i/>
                <w:iCs/>
              </w:rPr>
              <w:t xml:space="preserve">&lt;e.g. Stewardship&gt;</w:t>
            </w:r>
          </w:p>
        </w:tc>
        <w:tc>
          <w:tcPr/>
          <w:p>
            <w:pPr>
              <w:pStyle w:val="Compact"/>
            </w:pPr>
          </w:p>
        </w:tc>
      </w:tr>
      <w:tr>
        <w:tc>
          <w:tcPr/>
          <w:p>
            <w:pPr>
              <w:pStyle w:val="Compact"/>
            </w:pPr>
            <w:r>
              <w:rPr>
                <w:i/>
                <w:iCs/>
              </w:rPr>
              <w:t xml:space="preserve">&lt;e.g. Informal Participation&gt;</w:t>
            </w:r>
          </w:p>
        </w:tc>
        <w:tc>
          <w:tcPr/>
          <w:p>
            <w:pPr>
              <w:pStyle w:val="Compact"/>
            </w:pPr>
          </w:p>
        </w:tc>
      </w:tr>
    </w:tbl>
    <w:bookmarkEnd w:id="20"/>
    <w:bookmarkStart w:id="21" w:name="contribution-recognition-mechanism"/>
    <w:p>
      <w:pPr>
        <w:pStyle w:val="Heading2"/>
      </w:pPr>
      <w:r>
        <w:t xml:space="preserve">Contribution Recognition Mechanism</w:t>
      </w:r>
    </w:p>
    <w:p>
      <w:pPr>
        <w:pStyle w:val="FirstParagraph"/>
      </w:pPr>
      <w:r>
        <w:rPr>
          <w:i/>
          <w:iCs/>
        </w:rPr>
        <w:t xml:space="preserve">RCOS clauses:</w:t>
      </w:r>
      <w:r>
        <w:rPr>
          <w:i/>
          <w:iCs/>
        </w:rPr>
        <w:t xml:space="preserve"> </w:t>
      </w:r>
      <w:hyperlink r:id="rId15">
        <w:r>
          <w:rPr>
            <w:rStyle w:val="Hyperlink"/>
            <w:i/>
            <w:iCs/>
          </w:rPr>
          <w:t xml:space="preserve">5.2.2</w:t>
        </w:r>
      </w:hyperlink>
      <w:r>
        <w:rPr>
          <w:i/>
          <w:iCs/>
        </w:rPr>
        <w:t xml:space="preserve">,</w:t>
      </w:r>
      <w:r>
        <w:rPr>
          <w:i/>
          <w:iCs/>
        </w:rPr>
        <w:t xml:space="preserve"> </w:t>
      </w:r>
      <w:hyperlink r:id="rId15">
        <w:r>
          <w:rPr>
            <w:rStyle w:val="Hyperlink"/>
            <w:i/>
            <w:iCs/>
          </w:rPr>
          <w:t xml:space="preserve">5.2.5</w:t>
        </w:r>
      </w:hyperlink>
    </w:p>
    <w:p>
      <w:pPr>
        <w:pStyle w:val="BlockText"/>
      </w:pPr>
      <w:r>
        <w:rPr>
          <w:b/>
          <w:bCs/>
        </w:rPr>
        <w:t xml:space="preserve">Rationale — Why pin down how recognition actually works</w:t>
      </w:r>
    </w:p>
    <w:p>
      <w:pPr>
        <w:pStyle w:val="BlockText"/>
      </w:pPr>
      <w:r>
        <w:t xml:space="preserve">Without a defined mechanism,</w:t>
      </w:r>
      <w:r>
        <w:t xml:space="preserve"> </w:t>
      </w:r>
      <w:r>
        <w:t xml:space="preserve">“who gets credit”</w:t>
      </w:r>
      <w:r>
        <w:t xml:space="preserve"> </w:t>
      </w:r>
      <w:r>
        <w:t xml:space="preserve">becomes a matter of who is loudest or closest to whoever decides. Specifying what qualifies, how it’s recorded, who validates, and how to dispute it turns recognition into something a member can actually rely on — and blocks recognition from silently mutating into governance influence.</w:t>
      </w:r>
    </w:p>
    <w:p>
      <w:pPr>
        <w:pStyle w:val="BlockText"/>
      </w:pPr>
      <w:r>
        <w:rPr>
          <w:b/>
          <w:bCs/>
        </w:rPr>
        <w:t xml:space="preserve">Instructions — How to fill this in</w:t>
      </w:r>
    </w:p>
    <w:p>
      <w:pPr>
        <w:pStyle w:val="BlockText"/>
      </w:pPr>
      <w:r>
        <w:t xml:space="preserve">State what qualifies, how recognitions are recorded, who validates, what they unlock (or do not unlock), and how members dispute a record.</w:t>
      </w:r>
    </w:p>
    <w:p>
      <w:pPr>
        <w:pStyle w:val="Compact"/>
        <w:numPr>
          <w:ilvl w:val="0"/>
          <w:numId w:val="1003"/>
        </w:numPr>
      </w:pPr>
      <w:r>
        <w:rPr>
          <w:b/>
          <w:bCs/>
        </w:rPr>
        <w:t xml:space="preserve">What qualifies:</w:t>
      </w:r>
      <w:r>
        <w:t xml:space="preserve"> </w:t>
      </w:r>
      <w:r>
        <w:rPr>
          <w:i/>
          <w:iCs/>
        </w:rPr>
        <w:t xml:space="preserve">&lt;which activities count, and at whose declaration.&gt;</w:t>
      </w:r>
    </w:p>
    <w:p>
      <w:pPr>
        <w:pStyle w:val="Compact"/>
        <w:numPr>
          <w:ilvl w:val="0"/>
          <w:numId w:val="1003"/>
        </w:numPr>
      </w:pPr>
      <w:r>
        <w:rPr>
          <w:b/>
          <w:bCs/>
        </w:rPr>
        <w:t xml:space="preserve">How contributions are recorded:</w:t>
      </w:r>
      <w:r>
        <w:t xml:space="preserve"> </w:t>
      </w:r>
      <w:r>
        <w:rPr>
          <w:i/>
          <w:iCs/>
        </w:rPr>
        <w:t xml:space="preserve">&lt;structured channel; informal/self-reported channel.&gt;</w:t>
      </w:r>
    </w:p>
    <w:p>
      <w:pPr>
        <w:pStyle w:val="Compact"/>
        <w:numPr>
          <w:ilvl w:val="0"/>
          <w:numId w:val="1003"/>
        </w:numPr>
      </w:pPr>
      <w:r>
        <w:rPr>
          <w:b/>
          <w:bCs/>
        </w:rPr>
        <w:t xml:space="preserve">Who validates:</w:t>
      </w:r>
      <w:r>
        <w:t xml:space="preserve"> </w:t>
      </w:r>
      <w:r>
        <w:rPr>
          <w:i/>
          <w:iCs/>
        </w:rPr>
        <w:t xml:space="preserve">&lt;automatic / role holder / nomination process.&gt;</w:t>
      </w:r>
    </w:p>
    <w:p>
      <w:pPr>
        <w:pStyle w:val="Compact"/>
        <w:numPr>
          <w:ilvl w:val="0"/>
          <w:numId w:val="1003"/>
        </w:numPr>
      </w:pPr>
      <w:r>
        <w:rPr>
          <w:b/>
          <w:bCs/>
        </w:rPr>
        <w:t xml:space="preserve">Effect on access/privileges:</w:t>
      </w:r>
      <w:r>
        <w:t xml:space="preserve"> </w:t>
      </w:r>
      <w:r>
        <w:rPr>
          <w:i/>
          <w:iCs/>
        </w:rPr>
        <w:t xml:space="preserve">&lt;recognition affects internal-unit balance only; does not grant additional governance rights beyond the membership state.&gt;</w:t>
      </w:r>
    </w:p>
    <w:p>
      <w:pPr>
        <w:pStyle w:val="Compact"/>
        <w:numPr>
          <w:ilvl w:val="0"/>
          <w:numId w:val="1003"/>
        </w:numPr>
      </w:pPr>
      <w:r>
        <w:rPr>
          <w:b/>
          <w:bCs/>
        </w:rPr>
        <w:t xml:space="preserve">Dispute:</w:t>
      </w:r>
      <w:r>
        <w:t xml:space="preserve"> </w:t>
      </w:r>
    </w:p>
    <w:bookmarkEnd w:id="21"/>
    <w:bookmarkStart w:id="22" w:name="internal-units"/>
    <w:p>
      <w:pPr>
        <w:pStyle w:val="Heading2"/>
      </w:pPr>
      <w:r>
        <w:t xml:space="preserve">Internal Units</w:t>
      </w:r>
    </w:p>
    <w:p>
      <w:pPr>
        <w:pStyle w:val="FirstParagraph"/>
      </w:pPr>
      <w:r>
        <w:rPr>
          <w:i/>
          <w:iCs/>
        </w:rPr>
        <w:t xml:space="preserve">RCOS clauses:</w:t>
      </w:r>
      <w:r>
        <w:rPr>
          <w:i/>
          <w:iCs/>
        </w:rPr>
        <w:t xml:space="preserve"> </w:t>
      </w:r>
      <w:hyperlink r:id="rId15">
        <w:r>
          <w:rPr>
            <w:rStyle w:val="Hyperlink"/>
            <w:i/>
            <w:iCs/>
          </w:rPr>
          <w:t xml:space="preserve">5.2.4</w:t>
        </w:r>
      </w:hyperlink>
      <w:r>
        <w:rPr>
          <w:i/>
          <w:iCs/>
        </w:rPr>
        <w:t xml:space="preserve">,</w:t>
      </w:r>
      <w:r>
        <w:rPr>
          <w:i/>
          <w:iCs/>
        </w:rPr>
        <w:t xml:space="preserve"> </w:t>
      </w:r>
      <w:hyperlink r:id="rId15">
        <w:r>
          <w:rPr>
            <w:rStyle w:val="Hyperlink"/>
            <w:i/>
            <w:iCs/>
          </w:rPr>
          <w:t xml:space="preserve">5.2.5</w:t>
        </w:r>
      </w:hyperlink>
    </w:p>
    <w:p>
      <w:pPr>
        <w:pStyle w:val="BlockText"/>
      </w:pPr>
      <w:r>
        <w:rPr>
          <w:b/>
          <w:bCs/>
        </w:rPr>
        <w:t xml:space="preserve">Rationale — Why define internal units this precisely</w:t>
      </w:r>
    </w:p>
    <w:p>
      <w:pPr>
        <w:pStyle w:val="BlockText"/>
      </w:pPr>
      <w:r>
        <w:t xml:space="preserve">Internal units tend to grow powers no one voted for — decay, caps, transferability, governance weight — unless each property is nailed down in writing. Listing issuance, transfer rules, privacy, and explicit non-governance status makes the units tools of recognition rather than quiet shadow currencies.</w:t>
      </w:r>
    </w:p>
    <w:p>
      <w:pPr>
        <w:pStyle w:val="BlockText"/>
      </w:pPr>
      <w:r>
        <w:rPr>
          <w:b/>
          <w:bCs/>
        </w:rPr>
        <w:t xml:space="preserve">Instructions — How to fill this in</w:t>
      </w:r>
    </w:p>
    <w:p>
      <w:pPr>
        <w:pStyle w:val="BlockText"/>
      </w:pPr>
      <w:r>
        <w:t xml:space="preserve">If your community uses internal units (XP, ECO, credits, etc.), define each unit’s purpose, issuance, transferability, decay, cap, fraud prevention, and privacy. Explicitly state that units do not grant governance rights beyond the membership state.</w:t>
      </w:r>
    </w:p>
    <w:tbl>
      <w:tblPr>
        <w:tblStyle w:val="Table"/>
        <w:tblW w:type="auto" w:w="0"/>
        <w:tblLook w:firstRow="1" w:lastRow="0" w:firstColumn="0" w:lastColumn="0" w:noHBand="0" w:noVBand="0" w:val="0020"/>
      </w:tblPr>
      <w:tblGrid>
        <w:gridCol w:w="2640"/>
        <w:gridCol w:w="2640"/>
        <w:gridCol w:w="2640"/>
      </w:tblGrid>
      <w:tr>
        <w:trPr>
          <w:tblHeader w:val="on"/>
        </w:trPr>
        <w:tc>
          <w:tcPr/>
          <w:p>
            <w:pPr>
              <w:pStyle w:val="Compact"/>
            </w:pPr>
            <w:r>
              <w:t xml:space="preserve">Property</w:t>
            </w:r>
          </w:p>
        </w:tc>
        <w:tc>
          <w:tcPr/>
          <w:p>
            <w:pPr>
              <w:pStyle w:val="Compact"/>
            </w:pPr>
          </w:p>
        </w:tc>
        <w:tc>
          <w:tcPr/>
          <w:p>
            <w:pPr>
              <w:pStyle w:val="Compact"/>
            </w:pPr>
          </w:p>
        </w:tc>
      </w:tr>
      <w:tr>
        <w:tc>
          <w:tcPr/>
          <w:p>
            <w:pPr>
              <w:pStyle w:val="Compact"/>
            </w:pPr>
            <w:r>
              <w:rPr>
                <w:b/>
                <w:bCs/>
              </w:rPr>
              <w:t xml:space="preserve">Purpose</w:t>
            </w:r>
          </w:p>
        </w:tc>
        <w:tc>
          <w:tcPr/>
          <w:p>
            <w:pPr>
              <w:pStyle w:val="Compact"/>
            </w:pPr>
            <w:r>
              <w:rPr>
                <w:i/>
                <w:iCs/>
              </w:rPr>
              <w:t xml:space="preserve">&lt;…&gt;</w:t>
            </w:r>
          </w:p>
        </w:tc>
        <w:tc>
          <w:tcPr/>
          <w:p>
            <w:pPr>
              <w:pStyle w:val="Compact"/>
            </w:pPr>
            <w:r>
              <w:rPr>
                <w:i/>
                <w:iCs/>
              </w:rPr>
              <w:t xml:space="preserve">&lt;…&gt;</w:t>
            </w:r>
          </w:p>
        </w:tc>
      </w:tr>
      <w:tr>
        <w:tc>
          <w:tcPr/>
          <w:p>
            <w:pPr>
              <w:pStyle w:val="Compact"/>
            </w:pPr>
            <w:r>
              <w:rPr>
                <w:b/>
                <w:bCs/>
              </w:rPr>
              <w:t xml:space="preserve">Issuance</w:t>
            </w:r>
          </w:p>
        </w:tc>
        <w:tc>
          <w:tcPr/>
          <w:p>
            <w:pPr>
              <w:pStyle w:val="Compact"/>
            </w:pPr>
            <w:r>
              <w:rPr>
                <w:i/>
                <w:iCs/>
              </w:rPr>
              <w:t xml:space="preserve">&lt;…&gt;</w:t>
            </w:r>
          </w:p>
        </w:tc>
        <w:tc>
          <w:tcPr/>
          <w:p>
            <w:pPr>
              <w:pStyle w:val="Compact"/>
            </w:pPr>
            <w:r>
              <w:rPr>
                <w:i/>
                <w:iCs/>
              </w:rPr>
              <w:t xml:space="preserve">&lt;…&gt;</w:t>
            </w:r>
          </w:p>
        </w:tc>
      </w:tr>
      <w:tr>
        <w:tc>
          <w:tcPr/>
          <w:p>
            <w:pPr>
              <w:pStyle w:val="Compact"/>
            </w:pPr>
            <w:r>
              <w:rPr>
                <w:b/>
                <w:bCs/>
              </w:rPr>
              <w:t xml:space="preserve">Transferability</w:t>
            </w:r>
          </w:p>
        </w:tc>
        <w:tc>
          <w:tcPr/>
          <w:p>
            <w:pPr>
              <w:pStyle w:val="Compact"/>
            </w:pPr>
            <w:r>
              <w:rPr>
                <w:i/>
                <w:iCs/>
              </w:rPr>
              <w:t xml:space="preserve">&lt;…&gt;</w:t>
            </w:r>
          </w:p>
        </w:tc>
        <w:tc>
          <w:tcPr/>
          <w:p>
            <w:pPr>
              <w:pStyle w:val="Compact"/>
            </w:pPr>
            <w:r>
              <w:rPr>
                <w:i/>
                <w:iCs/>
              </w:rPr>
              <w:t xml:space="preserve">&lt;…&gt;</w:t>
            </w:r>
          </w:p>
        </w:tc>
      </w:tr>
      <w:tr>
        <w:tc>
          <w:tcPr/>
          <w:p>
            <w:pPr>
              <w:pStyle w:val="Compact"/>
            </w:pPr>
            <w:r>
              <w:rPr>
                <w:b/>
                <w:bCs/>
              </w:rPr>
              <w:t xml:space="preserve">Expiration / decay</w:t>
            </w:r>
          </w:p>
        </w:tc>
        <w:tc>
          <w:tcPr/>
          <w:p>
            <w:pPr>
              <w:pStyle w:val="Compact"/>
            </w:pPr>
            <w:r>
              <w:rPr>
                <w:i/>
                <w:iCs/>
              </w:rPr>
              <w:t xml:space="preserve">&lt;…&gt;</w:t>
            </w:r>
          </w:p>
        </w:tc>
        <w:tc>
          <w:tcPr/>
          <w:p>
            <w:pPr>
              <w:pStyle w:val="Compact"/>
            </w:pPr>
            <w:r>
              <w:rPr>
                <w:i/>
                <w:iCs/>
              </w:rPr>
              <w:t xml:space="preserve">&lt;…&gt;</w:t>
            </w:r>
          </w:p>
        </w:tc>
      </w:tr>
      <w:tr>
        <w:tc>
          <w:tcPr/>
          <w:p>
            <w:pPr>
              <w:pStyle w:val="Compact"/>
            </w:pPr>
            <w:r>
              <w:rPr>
                <w:b/>
                <w:bCs/>
              </w:rPr>
              <w:t xml:space="preserve">Hard cap</w:t>
            </w:r>
          </w:p>
        </w:tc>
        <w:tc>
          <w:tcPr/>
          <w:p>
            <w:pPr>
              <w:pStyle w:val="Compact"/>
            </w:pPr>
            <w:r>
              <w:rPr>
                <w:i/>
                <w:iCs/>
              </w:rPr>
              <w:t xml:space="preserve">&lt;…&gt;</w:t>
            </w:r>
          </w:p>
        </w:tc>
        <w:tc>
          <w:tcPr/>
          <w:p>
            <w:pPr>
              <w:pStyle w:val="Compact"/>
            </w:pPr>
            <w:r>
              <w:rPr>
                <w:i/>
                <w:iCs/>
              </w:rPr>
              <w:t xml:space="preserve">&lt;…&gt;</w:t>
            </w:r>
          </w:p>
        </w:tc>
      </w:tr>
      <w:tr>
        <w:tc>
          <w:tcPr/>
          <w:p>
            <w:pPr>
              <w:pStyle w:val="Compact"/>
            </w:pPr>
            <w:r>
              <w:rPr>
                <w:b/>
                <w:bCs/>
              </w:rPr>
              <w:t xml:space="preserve">Fraud prevention</w:t>
            </w:r>
          </w:p>
        </w:tc>
        <w:tc>
          <w:tcPr/>
          <w:p>
            <w:pPr>
              <w:pStyle w:val="Compact"/>
            </w:pPr>
            <w:r>
              <w:rPr>
                <w:i/>
                <w:iCs/>
              </w:rPr>
              <w:t xml:space="preserve">&lt;…&gt;</w:t>
            </w:r>
          </w:p>
        </w:tc>
        <w:tc>
          <w:tcPr/>
          <w:p>
            <w:pPr>
              <w:pStyle w:val="Compact"/>
            </w:pPr>
            <w:r>
              <w:rPr>
                <w:i/>
                <w:iCs/>
              </w:rPr>
              <w:t xml:space="preserve">&lt;…&gt;</w:t>
            </w:r>
          </w:p>
        </w:tc>
      </w:tr>
      <w:tr>
        <w:tc>
          <w:tcPr/>
          <w:p>
            <w:pPr>
              <w:pStyle w:val="Compact"/>
            </w:pPr>
            <w:r>
              <w:rPr>
                <w:b/>
                <w:bCs/>
              </w:rPr>
              <w:t xml:space="preserve">Privacy</w:t>
            </w:r>
          </w:p>
        </w:tc>
        <w:tc>
          <w:tcPr/>
          <w:p>
            <w:pPr>
              <w:pStyle w:val="Compact"/>
            </w:pPr>
            <w:r>
              <w:rPr>
                <w:i/>
                <w:iCs/>
              </w:rPr>
              <w:t xml:space="preserve">&lt;…&gt;</w:t>
            </w:r>
          </w:p>
        </w:tc>
        <w:tc>
          <w:tcPr/>
          <w:p>
            <w:pPr>
              <w:pStyle w:val="Compact"/>
            </w:pPr>
            <w:r>
              <w:rPr>
                <w:i/>
                <w:iCs/>
              </w:rPr>
              <w:t xml:space="preserve">&lt;…&gt;</w:t>
            </w:r>
          </w:p>
        </w:tc>
      </w:tr>
    </w:tbl>
    <w:p>
      <w:pPr>
        <w:pStyle w:val="BlockText"/>
      </w:pPr>
      <w:r>
        <w:t xml:space="preserve">Internal units do not grant governance rights beyond what the membership state defines.</w:t>
      </w:r>
    </w:p>
    <w:bookmarkEnd w:id="22"/>
    <w:bookmarkStart w:id="23" w:name="accumulation-constraints"/>
    <w:p>
      <w:pPr>
        <w:pStyle w:val="Heading2"/>
      </w:pPr>
      <w:r>
        <w:t xml:space="preserve">Accumulation Constraints</w:t>
      </w:r>
    </w:p>
    <w:p>
      <w:pPr>
        <w:pStyle w:val="FirstParagraph"/>
      </w:pPr>
      <w:r>
        <w:rPr>
          <w:i/>
          <w:iCs/>
        </w:rPr>
        <w:t xml:space="preserve">RCOS clauses:</w:t>
      </w:r>
      <w:r>
        <w:rPr>
          <w:i/>
          <w:iCs/>
        </w:rPr>
        <w:t xml:space="preserve"> </w:t>
      </w:r>
      <w:hyperlink r:id="rId16">
        <w:r>
          <w:rPr>
            <w:rStyle w:val="Hyperlink"/>
            <w:i/>
            <w:iCs/>
          </w:rPr>
          <w:t xml:space="preserve">5.4.1</w:t>
        </w:r>
      </w:hyperlink>
      <w:r>
        <w:rPr>
          <w:i/>
          <w:iCs/>
        </w:rPr>
        <w:t xml:space="preserve">,</w:t>
      </w:r>
      <w:r>
        <w:rPr>
          <w:i/>
          <w:iCs/>
        </w:rPr>
        <w:t xml:space="preserve"> </w:t>
      </w:r>
      <w:hyperlink r:id="rId16">
        <w:r>
          <w:rPr>
            <w:rStyle w:val="Hyperlink"/>
            <w:i/>
            <w:iCs/>
          </w:rPr>
          <w:t xml:space="preserve">5.4.2</w:t>
        </w:r>
      </w:hyperlink>
      <w:r>
        <w:rPr>
          <w:i/>
          <w:iCs/>
        </w:rPr>
        <w:t xml:space="preserve">,</w:t>
      </w:r>
      <w:r>
        <w:rPr>
          <w:i/>
          <w:iCs/>
        </w:rPr>
        <w:t xml:space="preserve"> </w:t>
      </w:r>
      <w:hyperlink r:id="rId16">
        <w:r>
          <w:rPr>
            <w:rStyle w:val="Hyperlink"/>
            <w:i/>
            <w:iCs/>
          </w:rPr>
          <w:t xml:space="preserve">5.4.3</w:t>
        </w:r>
      </w:hyperlink>
      <w:r>
        <w:rPr>
          <w:i/>
          <w:iCs/>
        </w:rPr>
        <w:t xml:space="preserve">,</w:t>
      </w:r>
      <w:r>
        <w:rPr>
          <w:i/>
          <w:iCs/>
        </w:rPr>
        <w:t xml:space="preserve"> </w:t>
      </w:r>
      <w:hyperlink r:id="rId16">
        <w:r>
          <w:rPr>
            <w:rStyle w:val="Hyperlink"/>
            <w:i/>
            <w:iCs/>
          </w:rPr>
          <w:t xml:space="preserve">5.4.4</w:t>
        </w:r>
      </w:hyperlink>
      <w:r>
        <w:rPr>
          <w:i/>
          <w:iCs/>
        </w:rPr>
        <w:t xml:space="preserve">,</w:t>
      </w:r>
      <w:r>
        <w:rPr>
          <w:i/>
          <w:iCs/>
        </w:rPr>
        <w:t xml:space="preserve"> </w:t>
      </w:r>
      <w:hyperlink r:id="rId18">
        <w:r>
          <w:rPr>
            <w:rStyle w:val="Hyperlink"/>
            <w:i/>
            <w:iCs/>
          </w:rPr>
          <w:t xml:space="preserve">5.6.4</w:t>
        </w:r>
      </w:hyperlink>
    </w:p>
    <w:p>
      <w:pPr>
        <w:pStyle w:val="BlockText"/>
      </w:pPr>
      <w:r>
        <w:rPr>
          <w:b/>
          <w:bCs/>
        </w:rPr>
        <w:t xml:space="preserve">Rationale — Why constrain accumulation at all</w:t>
      </w:r>
    </w:p>
    <w:p>
      <w:pPr>
        <w:pStyle w:val="BlockText"/>
      </w:pPr>
      <w:r>
        <w:t xml:space="preserve">Any internal unit that can pile up without limit eventually becomes leverage — a few members with large balances gain informal sway the governance system never granted them. Stating accumulation rules explicitly, even when the current rule is</w:t>
      </w:r>
      <w:r>
        <w:t xml:space="preserve"> </w:t>
      </w:r>
      <w:r>
        <w:t xml:space="preserve">“none yet,”</w:t>
      </w:r>
      <w:r>
        <w:t xml:space="preserve"> </w:t>
      </w:r>
      <w:r>
        <w:t xml:space="preserve">keeps the question open and forces a visible decision before concentration becomes a structural problem.</w:t>
      </w:r>
    </w:p>
    <w:p>
      <w:pPr>
        <w:pStyle w:val="BlockText"/>
      </w:pPr>
      <w:r>
        <w:rPr>
          <w:b/>
          <w:bCs/>
        </w:rPr>
        <w:t xml:space="preserve">Instructions — How to fill this in</w:t>
      </w:r>
    </w:p>
    <w:p>
      <w:pPr>
        <w:pStyle w:val="BlockText"/>
      </w:pPr>
      <w:r>
        <w:t xml:space="preserve">State the current accumulation rule (cap, decay, none) and the rule that no internal unit may be converted into governance authority.</w:t>
      </w:r>
    </w:p>
    <w:p>
      <w:pPr>
        <w:pStyle w:val="Compact"/>
        <w:numPr>
          <w:ilvl w:val="0"/>
          <w:numId w:val="1004"/>
        </w:numPr>
      </w:pPr>
      <w:r>
        <w:rPr>
          <w:i/>
          <w:iCs/>
        </w:rPr>
        <w:t xml:space="preserve">&lt;Hard cap on internal units, if any.&gt;</w:t>
      </w:r>
    </w:p>
    <w:p>
      <w:pPr>
        <w:pStyle w:val="Compact"/>
        <w:numPr>
          <w:ilvl w:val="0"/>
          <w:numId w:val="1004"/>
        </w:numPr>
      </w:pPr>
      <w:r>
        <w:rPr>
          <w:i/>
          <w:iCs/>
        </w:rPr>
        <w:t xml:space="preserve">&lt;Decay rule, if any.&gt;</w:t>
      </w:r>
    </w:p>
    <w:p>
      <w:pPr>
        <w:pStyle w:val="Compact"/>
        <w:numPr>
          <w:ilvl w:val="0"/>
          <w:numId w:val="1004"/>
        </w:numPr>
      </w:pPr>
    </w:p>
    <w:bookmarkEnd w:id="23"/>
    <w:bookmarkStart w:id="25" w:name="external-income-interfaces"/>
    <w:p>
      <w:pPr>
        <w:pStyle w:val="Heading2"/>
      </w:pPr>
      <w:r>
        <w:t xml:space="preserve">External Income Interfaces</w:t>
      </w:r>
    </w:p>
    <w:p>
      <w:pPr>
        <w:pStyle w:val="FirstParagraph"/>
      </w:pPr>
      <w:r>
        <w:rPr>
          <w:i/>
          <w:iCs/>
        </w:rPr>
        <w:t xml:space="preserve">RCOS clauses:</w:t>
      </w:r>
      <w:r>
        <w:rPr>
          <w:i/>
          <w:iCs/>
        </w:rPr>
        <w:t xml:space="preserve"> </w:t>
      </w:r>
      <w:hyperlink r:id="rId24">
        <w:r>
          <w:rPr>
            <w:rStyle w:val="Hyperlink"/>
            <w:i/>
            <w:iCs/>
          </w:rPr>
          <w:t xml:space="preserve">5.3.2</w:t>
        </w:r>
      </w:hyperlink>
    </w:p>
    <w:p>
      <w:pPr>
        <w:pStyle w:val="BlockText"/>
      </w:pPr>
      <w:r>
        <w:rPr>
          <w:b/>
          <w:bCs/>
        </w:rPr>
        <w:t xml:space="preserve">Rationale — Why require approval before money arrives</w:t>
      </w:r>
    </w:p>
    <w:p>
      <w:pPr>
        <w:pStyle w:val="BlockText"/>
      </w:pPr>
      <w:r>
        <w:t xml:space="preserve">Once funds are in hand, the conversation shifts from</w:t>
      </w:r>
      <w:r>
        <w:t xml:space="preserve"> </w:t>
      </w:r>
      <w:r>
        <w:t xml:space="preserve">“should we accept this?”</w:t>
      </w:r>
      <w:r>
        <w:t xml:space="preserve"> </w:t>
      </w:r>
      <w:r>
        <w:t xml:space="preserve">to</w:t>
      </w:r>
      <w:r>
        <w:t xml:space="preserve"> </w:t>
      </w:r>
      <w:r>
        <w:t xml:space="preserve">“what do we do with it?”</w:t>
      </w:r>
      <w:r>
        <w:t xml:space="preserve"> </w:t>
      </w:r>
      <w:r>
        <w:t xml:space="preserve">— and the conditions attached to the income (grant terms, partnership obligations, service commitments) are often already locked in. Requiring a Strategic decision before any new income channel opens keeps the community in control of what it takes on.</w:t>
      </w:r>
    </w:p>
    <w:p>
      <w:pPr>
        <w:pStyle w:val="BlockText"/>
      </w:pPr>
      <w:r>
        <w:rPr>
          <w:b/>
          <w:bCs/>
        </w:rPr>
        <w:t xml:space="preserve">Instructions — How to fill this in</w:t>
      </w:r>
    </w:p>
    <w:p>
      <w:pPr>
        <w:pStyle w:val="BlockText"/>
      </w:pPr>
      <w:r>
        <w:t xml:space="preserve">List current declared income channels, name potential future channels, and require Strategic approval before any new channel is opened.</w:t>
      </w:r>
    </w:p>
    <w:p>
      <w:pPr>
        <w:pStyle w:val="Compact"/>
        <w:numPr>
          <w:ilvl w:val="0"/>
          <w:numId w:val="1005"/>
        </w:numPr>
      </w:pPr>
    </w:p>
    <w:p>
      <w:pPr>
        <w:pStyle w:val="Compact"/>
        <w:numPr>
          <w:ilvl w:val="0"/>
          <w:numId w:val="1005"/>
        </w:numPr>
      </w:pPr>
    </w:p>
    <w:p>
      <w:pPr>
        <w:pStyle w:val="Compact"/>
        <w:numPr>
          <w:ilvl w:val="0"/>
          <w:numId w:val="1005"/>
        </w:numPr>
      </w:pPr>
      <w:r>
        <w:rPr>
          <w:i/>
          <w:iCs/>
        </w:rPr>
        <w:t xml:space="preserve">&lt;Rule: any new external income interface must be declared and approved via a Strategic decision before funds are received or commitments made.&gt;</w:t>
      </w:r>
    </w:p>
    <w:bookmarkEnd w:id="25"/>
    <w:bookmarkStart w:id="26" w:name="dispute-resolution-for-economic-records"/>
    <w:p>
      <w:pPr>
        <w:pStyle w:val="Heading2"/>
      </w:pPr>
      <w:r>
        <w:t xml:space="preserve">Dispute Resolution for Economic Records</w:t>
      </w:r>
    </w:p>
    <w:p>
      <w:pPr>
        <w:pStyle w:val="BlockText"/>
      </w:pPr>
      <w:r>
        <w:rPr>
          <w:b/>
          <w:bCs/>
        </w:rPr>
        <w:t xml:space="preserve">Rationale — Why time-box economic disputes</w:t>
      </w:r>
    </w:p>
    <w:p>
      <w:pPr>
        <w:pStyle w:val="BlockText"/>
      </w:pPr>
      <w:r>
        <w:t xml:space="preserve">Contribution and balance records accumulate fast; if disputes could be raised indefinitely, the ledger would never settle and every historical credit would stay contestable. A defined window with a named resolver and an appeal path gives members a real chance to correct errors without leaving the whole economic history perpetually unstable.</w:t>
      </w:r>
    </w:p>
    <w:p>
      <w:pPr>
        <w:pStyle w:val="BlockText"/>
      </w:pPr>
      <w:r>
        <w:rPr>
          <w:b/>
          <w:bCs/>
        </w:rPr>
        <w:t xml:space="preserve">Instructions — How to fill this in</w:t>
      </w:r>
    </w:p>
    <w:p>
      <w:pPr>
        <w:pStyle w:val="BlockText"/>
      </w:pPr>
      <w:r>
        <w:t xml:space="preserve">State the dispute window, named resolver, and appeal path. Reference the Contribution Recognition Mechanism for the full process.</w:t>
      </w:r>
    </w:p>
    <w:p>
      <w:pPr>
        <w:pStyle w:val="FirstParagraph"/>
      </w:pPr>
      <w:r>
        <w:rPr>
          <w:i/>
          <w:iCs/>
        </w:rPr>
        <w:t xml:space="preserve">&lt;Window for contesting a contribution record or balance; named resolver; appeal path to Full Members via the governance process.&gt;</w:t>
      </w:r>
    </w:p>
    <w:p>
      <w:r>
        <w:pict>
          <v:rect style="width:0;height:1.5pt" o:hralign="center" o:hrstd="t" o:hr="t"/>
        </w:pict>
      </w:r>
    </w:p>
    <w:bookmarkEnd w:id="26"/>
    <w:bookmarkStart w:id="27" w:name="ratification-record"/>
    <w:p>
      <w:pPr>
        <w:pStyle w:val="Heading2"/>
      </w:pPr>
      <w:r>
        <w:t xml:space="preserve">Ratification Record</w:t>
      </w:r>
    </w:p>
    <w:p>
      <w:pPr>
        <w:pStyle w:val="Compact"/>
        <w:numPr>
          <w:ilvl w:val="0"/>
          <w:numId w:val="1006"/>
        </w:numPr>
      </w:pPr>
      <w:r>
        <w:rPr>
          <w:b/>
          <w:bCs/>
        </w:rPr>
        <w:t xml:space="preserve">Adopted:</w:t>
      </w:r>
      <w:r>
        <w:t xml:space="preserve"> </w:t>
      </w:r>
    </w:p>
    <w:p>
      <w:pPr>
        <w:pStyle w:val="Compact"/>
        <w:numPr>
          <w:ilvl w:val="0"/>
          <w:numId w:val="1006"/>
        </w:numPr>
      </w:pPr>
      <w:r>
        <w:rPr>
          <w:b/>
          <w:bCs/>
        </w:rPr>
        <w:t xml:space="preserve">Decision type:</w:t>
      </w:r>
      <w:r>
        <w:t xml:space="preserve"> </w:t>
      </w:r>
      <w:r>
        <w:t xml:space="preserve">Strategic</w:t>
      </w:r>
    </w:p>
    <w:p>
      <w:pPr>
        <w:pStyle w:val="Compact"/>
        <w:numPr>
          <w:ilvl w:val="0"/>
          <w:numId w:val="1006"/>
        </w:numPr>
      </w:pPr>
      <w:r>
        <w:rPr>
          <w:b/>
          <w:bCs/>
        </w:rPr>
        <w:t xml:space="preserve">Version:</w:t>
      </w:r>
      <w:r>
        <w:t xml:space="preserve"> </w:t>
      </w:r>
    </w:p>
    <w:p>
      <w:pPr>
        <w:pStyle w:val="Compact"/>
        <w:numPr>
          <w:ilvl w:val="0"/>
          <w:numId w:val="1006"/>
        </w:numPr>
      </w:pPr>
      <w:r>
        <w:rPr>
          <w:b/>
          <w:bCs/>
        </w:rPr>
        <w:t xml:space="preserve">Decision record:</w:t>
      </w:r>
      <w:r>
        <w:t xml:space="preserve"> </w:t>
      </w:r>
    </w:p>
    <w:bookmarkEnd w:id="27"/>
    <w:bookmarkEnd w:id="28"/>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 Type="http://schemas.openxmlformats.org/officeDocument/2006/relationships/image" Id="rId9" Target="media/rId9.png" /><Relationship Type="http://schemas.openxmlformats.org/officeDocument/2006/relationships/hyperlink" Id="rId14" Target="https://blueprint.ecohubs.community/articles/rcos-core/v0-1/layer-3-economic-resource-system#51-commons-vs-private-resources" TargetMode="External" /><Relationship Type="http://schemas.openxmlformats.org/officeDocument/2006/relationships/hyperlink" Id="rId15" Target="https://blueprint.ecohubs.community/articles/rcos-core/v0-1/layer-3-economic-resource-system#52-contribution-recognition" TargetMode="External" /><Relationship Type="http://schemas.openxmlformats.org/officeDocument/2006/relationships/hyperlink" Id="rId24" Target="https://blueprint.ecohubs.community/articles/rcos-core/v0-1/layer-3-economic-resource-system#53-treasury-management" TargetMode="External" /><Relationship Type="http://schemas.openxmlformats.org/officeDocument/2006/relationships/hyperlink" Id="rId16" Target="https://blueprint.ecohubs.community/articles/rcos-core/v0-1/layer-3-economic-resource-system#54-accumulation-constraints" TargetMode="External" /><Relationship Type="http://schemas.openxmlformats.org/officeDocument/2006/relationships/hyperlink" Id="rId17" Target="https://blueprint.ecohubs.community/articles/rcos-core/v0-1/layer-3-economic-resource-system#55-artifacts" TargetMode="External" /><Relationship Type="http://schemas.openxmlformats.org/officeDocument/2006/relationships/hyperlink" Id="rId18" Target="https://blueprint.ecohubs.community/articles/rcos-core/v0-1/layer-3-economic-resource-system#56-layer-invariants" TargetMode="External" /><Relationship Type="http://schemas.openxmlformats.org/officeDocument/2006/relationships/hyperlink" Id="rId13" Target="https://blueprint.ecohubs.community/articles/rcos-templates" TargetMode="External" /><Relationship Type="http://schemas.openxmlformats.org/officeDocument/2006/relationships/hyperlink" Id="rId12" Target="https://blueprint.ecohubs.community/articles/rcos-templates/layer-3/internal-economy-protocol" TargetMode="External" /></Relationships>
</file>

<file path=word/_rels/footnotes.xml.rels><?xml version="1.0" encoding="UTF-8"?><Relationships xmlns="http://schemas.openxmlformats.org/package/2006/relationships"><Relationship Type="http://schemas.openxmlformats.org/officeDocument/2006/relationships/hyperlink" Id="rId14" Target="https://blueprint.ecohubs.community/articles/rcos-core/v0-1/layer-3-economic-resource-system#51-commons-vs-private-resources" TargetMode="External" /><Relationship Type="http://schemas.openxmlformats.org/officeDocument/2006/relationships/hyperlink" Id="rId15" Target="https://blueprint.ecohubs.community/articles/rcos-core/v0-1/layer-3-economic-resource-system#52-contribution-recognition" TargetMode="External" /><Relationship Type="http://schemas.openxmlformats.org/officeDocument/2006/relationships/hyperlink" Id="rId24" Target="https://blueprint.ecohubs.community/articles/rcos-core/v0-1/layer-3-economic-resource-system#53-treasury-management" TargetMode="External" /><Relationship Type="http://schemas.openxmlformats.org/officeDocument/2006/relationships/hyperlink" Id="rId16" Target="https://blueprint.ecohubs.community/articles/rcos-core/v0-1/layer-3-economic-resource-system#54-accumulation-constraints" TargetMode="External" /><Relationship Type="http://schemas.openxmlformats.org/officeDocument/2006/relationships/hyperlink" Id="rId17" Target="https://blueprint.ecohubs.community/articles/rcos-core/v0-1/layer-3-economic-resource-system#55-artifacts" TargetMode="External" /><Relationship Type="http://schemas.openxmlformats.org/officeDocument/2006/relationships/hyperlink" Id="rId18" Target="https://blueprint.ecohubs.community/articles/rcos-core/v0-1/layer-3-economic-resource-system#56-layer-invariants" TargetMode="External" /><Relationship Type="http://schemas.openxmlformats.org/officeDocument/2006/relationships/hyperlink" Id="rId13" Target="https://blueprint.ecohubs.community/articles/rcos-templates" TargetMode="External" /><Relationship Type="http://schemas.openxmlformats.org/officeDocument/2006/relationships/hyperlink" Id="rId12" Target="https://blueprint.ecohubs.community/articles/rcos-templates/layer-3/internal-economy-protoco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2026-04-29T01:58:15Z</dcterms:created>
  <dcterms:modified xsi:type="dcterms:W3CDTF">2026-04-29T01:58:15Z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le-meta">
    <vt:lpwstr>Internal Economy Protocol</vt:lpwstr>
  </property>
</Properties>
</file>