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Regenerative Community Operating System</w:t>
      </w:r>
    </w:p>
    <w:bookmarkStart w:id="25" w:name="governance-protocol"/>
    <w:p>
      <w:pPr>
        <w:pStyle w:val="Heading1"/>
      </w:pPr>
      <w:r>
        <w:t xml:space="preserve">Governance Protocol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Generated: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Source (latest version):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https://blueprint.ecohubs.community/articles/rcos-templates/layer-2/governance-protocol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RCOS templates: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Layer:</w:t>
      </w:r>
      <w:r>
        <w:t xml:space="preserve"> </w:t>
      </w:r>
      <w:r>
        <w:t xml:space="preserve">2 — Governance &amp; Decision Logic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Status:</w:t>
      </w:r>
      <w:r>
        <w:t xml:space="preserve"> </w:t>
      </w:r>
      <w:r>
        <w:t xml:space="preserve">Template — adapt for your community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RCOS reference:</w:t>
      </w:r>
      <w:r>
        <w:t xml:space="preserve"> </w:t>
      </w:r>
      <w:hyperlink r:id="rId14">
        <w:r>
          <w:rPr>
            <w:rStyle w:val="Hyperlink"/>
          </w:rPr>
          <w:t xml:space="preserve">§4.5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§4.6</w:t>
        </w:r>
      </w:hyperlink>
      <w:r>
        <w:t xml:space="preserve">,</w:t>
      </w:r>
      <w:r>
        <w:t xml:space="preserve"> </w:t>
      </w:r>
      <w:hyperlink r:id="rId16">
        <w:r>
          <w:rPr>
            <w:rStyle w:val="Hyperlink"/>
          </w:rPr>
          <w:t xml:space="preserve">§4.7</w:t>
        </w:r>
      </w:hyperlink>
    </w:p>
    <w:p>
      <w:pPr>
        <w:pStyle w:val="BlockText"/>
      </w:pPr>
      <w:r>
        <w:t xml:space="preserve">Defines the full lifecycle of a collective decision — from proposal submission to documentation and appeal.</w:t>
      </w:r>
    </w:p>
    <w:p>
      <w:r>
        <w:pict>
          <v:rect style="width:0;height:1.5pt" o:hralign="center" o:hrstd="t" o:hr="t"/>
        </w:pict>
      </w:r>
    </w:p>
    <w:bookmarkStart w:id="17" w:name="proposal-submission"/>
    <w:p>
      <w:pPr>
        <w:pStyle w:val="Heading2"/>
      </w:pPr>
      <w:r>
        <w:t xml:space="preserve">Proposal Submission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4.5.1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4.5.2</w:t>
        </w:r>
      </w:hyperlink>
    </w:p>
    <w:p>
      <w:pPr>
        <w:pStyle w:val="BlockText"/>
      </w:pPr>
      <w:r>
        <w:rPr>
          <w:b/>
          <w:bCs/>
        </w:rPr>
        <w:t xml:space="preserve">Rationale — Why formalize how proposals enter the system</w:t>
      </w:r>
    </w:p>
    <w:p>
      <w:pPr>
        <w:pStyle w:val="BlockText"/>
      </w:pPr>
      <w:r>
        <w:t xml:space="preserve">A decision process that accepts proposals informally — a message, a verbal suggestion, a founder’s idea — has no reliable way to tell what is actually on the table. Requiring a standard submission format, filing location, and mandatory content fields means every proposal arrives with the same information, visible to everyone, traceable from day one.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who may propose, where proposals are submitted, the mandatory content fields, and how decision type is determined and challenged.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&lt;Operational decisions — handled by the relevant role holder per the Role Registry; no proposal required.&gt;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&lt;Strategic and Constitutional decisions — who may submit, and on what platform.&gt;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&lt;Mandatory proposal fields: summary, affected layers and artifacts, decision type, rationale, risks and mitigations, rollback plan, proposed effective date.&gt;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&lt;Decision type is declared by proposer; defaults to higher-impact type if unclear.&gt;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&lt;Withdrawal rules — when a proposal can be withdrawn and how.&gt;</w:t>
      </w:r>
    </w:p>
    <w:bookmarkEnd w:id="17"/>
    <w:bookmarkStart w:id="18" w:name="review-and-deliberation"/>
    <w:p>
      <w:pPr>
        <w:pStyle w:val="Heading2"/>
      </w:pPr>
      <w:r>
        <w:t xml:space="preserve">Review and Deliberation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4.5.1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4.5.2</w:t>
        </w:r>
      </w:hyperlink>
    </w:p>
    <w:p>
      <w:pPr>
        <w:pStyle w:val="BlockText"/>
      </w:pPr>
      <w:r>
        <w:rPr>
          <w:b/>
          <w:bCs/>
        </w:rPr>
        <w:t xml:space="preserve">Rationale — Why enforce a minimum deliberation window</w:t>
      </w:r>
    </w:p>
    <w:p>
      <w:pPr>
        <w:pStyle w:val="BlockText"/>
      </w:pPr>
      <w:r>
        <w:t xml:space="preserve">Rushed votes favor whoever is already paying attention and disadvantage everyone else. A mandatory deliberation period, tied to the weight of the decision, gives members time to read, respond, and surface concerns before the vote opens — so the vote reflects considered judgment, not speed of reaction.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Name the deliberation venues and the minimum periods for Strategic and Constitutional decisions before a vote may open.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&lt;Where deliberation happens (forum, chat, meeting).&gt;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&lt;Minimum deliberation period before a vote opens — Strategic.&gt;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&lt;Minimum deliberation period before a vote opens — Constitutional.&gt;</w:t>
      </w:r>
    </w:p>
    <w:p>
      <w:pPr>
        <w:pStyle w:val="Compact"/>
        <w:numPr>
          <w:ilvl w:val="0"/>
          <w:numId w:val="1004"/>
        </w:numPr>
      </w:pPr>
    </w:p>
    <w:bookmarkEnd w:id="18"/>
    <w:bookmarkStart w:id="19" w:name="decision-execution"/>
    <w:p>
      <w:pPr>
        <w:pStyle w:val="Heading2"/>
      </w:pPr>
      <w:r>
        <w:t xml:space="preserve">Decision Execution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4.5.1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4.5.4</w:t>
        </w:r>
      </w:hyperlink>
    </w:p>
    <w:p>
      <w:pPr>
        <w:pStyle w:val="BlockText"/>
      </w:pPr>
      <w:r>
        <w:rPr>
          <w:b/>
          <w:bCs/>
        </w:rPr>
        <w:t xml:space="preserve">Rationale — Why tie execution to the record</w:t>
      </w:r>
    </w:p>
    <w:p>
      <w:pPr>
        <w:pStyle w:val="BlockText"/>
      </w:pPr>
      <w:r>
        <w:t xml:space="preserve">A passed proposal that never reaches the affected artifact is a decision in name only — the rules on the ground still say what they said before. Binding execution to a concrete artifact update and version-history entry closes the gap between what was decided and what is actually in force.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what happens when a proposal passes (artifact updates, version history) and when it is rejected (archive). Define a time bound for both.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&lt;On passing: how proposal is filed; affected artifacts updated; version history entry made.&gt;</w:t>
      </w:r>
    </w:p>
    <w:p>
      <w:pPr>
        <w:pStyle w:val="Compact"/>
        <w:numPr>
          <w:ilvl w:val="0"/>
          <w:numId w:val="1005"/>
        </w:numPr>
      </w:pPr>
    </w:p>
    <w:p>
      <w:pPr>
        <w:pStyle w:val="Compact"/>
        <w:numPr>
          <w:ilvl w:val="0"/>
          <w:numId w:val="1005"/>
        </w:numPr>
      </w:pPr>
    </w:p>
    <w:bookmarkEnd w:id="19"/>
    <w:bookmarkStart w:id="20" w:name="documentation-and-publication"/>
    <w:p>
      <w:pPr>
        <w:pStyle w:val="Heading2"/>
      </w:pPr>
      <w:r>
        <w:t xml:space="preserve">Documentation and Publication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4.5.4</w:t>
        </w:r>
      </w:hyperlink>
    </w:p>
    <w:p>
      <w:pPr>
        <w:pStyle w:val="BlockText"/>
      </w:pPr>
      <w:r>
        <w:rPr>
          <w:b/>
          <w:bCs/>
        </w:rPr>
        <w:t xml:space="preserve">Rationale — Why document every outcome, including rejections</w:t>
      </w:r>
    </w:p>
    <w:p>
      <w:pPr>
        <w:pStyle w:val="BlockText"/>
      </w:pPr>
      <w:r>
        <w:t xml:space="preserve">Keeping a record of only the decisions that passed erases the reasoning history — members lose track of what was already considered and rejected, and the same debates get re-litigated indefinitely. Archiving both passed and rejected proposals, with a time bound and a verifiable decision record, preserves institutional memory and makes the governance system auditable.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retention rules for passed and rejected proposals, what counts as the decision record, and the version-history update obligation.</w:t>
      </w:r>
    </w:p>
    <w:p>
      <w:pPr>
        <w:pStyle w:val="Compact"/>
        <w:numPr>
          <w:ilvl w:val="0"/>
          <w:numId w:val="1006"/>
        </w:numPr>
      </w:pP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&lt;The vote artifact (e.g. Snapshot link) serves as the decision record.&gt;</w:t>
      </w: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&lt;Version history (Layer 6) updated with every passed proposal.&gt;</w:t>
      </w:r>
    </w:p>
    <w:bookmarkEnd w:id="20"/>
    <w:bookmarkStart w:id="21" w:name="appeal-and-review"/>
    <w:p>
      <w:pPr>
        <w:pStyle w:val="Heading2"/>
      </w:pPr>
      <w:r>
        <w:t xml:space="preserve">Appeal and Review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4.5.2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4.6.2</w:t>
        </w:r>
      </w:hyperlink>
    </w:p>
    <w:p>
      <w:pPr>
        <w:pStyle w:val="BlockText"/>
      </w:pPr>
      <w:r>
        <w:rPr>
          <w:b/>
          <w:bCs/>
        </w:rPr>
        <w:t xml:space="preserve">Rationale — Why make re-votes possible but bounded</w:t>
      </w:r>
    </w:p>
    <w:p>
      <w:pPr>
        <w:pStyle w:val="BlockText"/>
      </w:pPr>
      <w:r>
        <w:t xml:space="preserve">A governance system with no appeal route hardens mistakes into permanent rules; one with unlimited informal appeal paths never settles anything. Allowing any Full Member to trigger a re-vote — but only with a written, reasoned objection raising something not already addressed — keeps the system self-correcting without turning every decision into a standing referendum.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Define the conditions for triggering a re-vote, the objection format, and the threshold/mechanism for the re-vote itself.</w:t>
      </w:r>
    </w:p>
    <w:p>
      <w:pPr>
        <w:pStyle w:val="Compact"/>
        <w:numPr>
          <w:ilvl w:val="0"/>
          <w:numId w:val="1007"/>
        </w:numPr>
      </w:pPr>
    </w:p>
    <w:p>
      <w:pPr>
        <w:pStyle w:val="Compact"/>
        <w:numPr>
          <w:ilvl w:val="0"/>
          <w:numId w:val="1007"/>
        </w:numPr>
      </w:pPr>
      <w:r>
        <w:rPr>
          <w:i/>
          <w:iCs/>
        </w:rPr>
        <w:t xml:space="preserve">&lt;Reasoned objection requirement — a consideration not addressed in original deliberation.&gt;</w:t>
      </w:r>
    </w:p>
    <w:p>
      <w:pPr>
        <w:pStyle w:val="Compact"/>
        <w:numPr>
          <w:ilvl w:val="0"/>
          <w:numId w:val="1007"/>
        </w:numPr>
      </w:pPr>
    </w:p>
    <w:p>
      <w:pPr>
        <w:pStyle w:val="Compact"/>
        <w:numPr>
          <w:ilvl w:val="0"/>
          <w:numId w:val="1007"/>
        </w:numPr>
      </w:pPr>
    </w:p>
    <w:bookmarkEnd w:id="21"/>
    <w:bookmarkStart w:id="22" w:name="conflict-between-decisions"/>
    <w:p>
      <w:pPr>
        <w:pStyle w:val="Heading2"/>
      </w:pPr>
      <w:r>
        <w:t xml:space="preserve">Conflict Between Decisions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4.5.3</w:t>
        </w:r>
      </w:hyperlink>
    </w:p>
    <w:p>
      <w:pPr>
        <w:pStyle w:val="BlockText"/>
      </w:pPr>
      <w:r>
        <w:rPr>
          <w:b/>
          <w:bCs/>
        </w:rPr>
        <w:t xml:space="preserve">Rationale — Why predefine conflict resolution</w:t>
      </w:r>
    </w:p>
    <w:p>
      <w:pPr>
        <w:pStyle w:val="BlockText"/>
      </w:pPr>
      <w:r>
        <w:t xml:space="preserve">When two decisions point in different directions, someone has to choose which one counts — and if that choice is made ad hoc, it reduces to whoever has the authority or energy to enforce their reading. A fixed precedence rule (higher type wins; more recent wins at the same type) resolves conflicts mechanically, without a judgment call.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the precedence rule (typically: higher decision type prevails; more recent wins at the same type, unless explicitly locked).</w:t>
      </w:r>
    </w:p>
    <w:p>
      <w:pPr>
        <w:pStyle w:val="Compact"/>
        <w:numPr>
          <w:ilvl w:val="0"/>
          <w:numId w:val="1008"/>
        </w:numPr>
      </w:pPr>
      <w:r>
        <w:rPr>
          <w:i/>
          <w:iCs/>
        </w:rPr>
        <w:t xml:space="preserve">&lt;Precedence: Constitutional &gt; Strategic &gt; Operational.&gt;</w:t>
      </w:r>
    </w:p>
    <w:p>
      <w:pPr>
        <w:pStyle w:val="Compact"/>
        <w:numPr>
          <w:ilvl w:val="0"/>
          <w:numId w:val="1008"/>
        </w:numPr>
      </w:pPr>
    </w:p>
    <w:p>
      <w:pPr>
        <w:pStyle w:val="Compact"/>
        <w:numPr>
          <w:ilvl w:val="0"/>
          <w:numId w:val="1008"/>
        </w:numPr>
      </w:pPr>
    </w:p>
    <w:bookmarkEnd w:id="22"/>
    <w:bookmarkStart w:id="23" w:name="safeguards-and-failure-modes"/>
    <w:p>
      <w:pPr>
        <w:pStyle w:val="Heading2"/>
      </w:pPr>
      <w:r>
        <w:t xml:space="preserve">Safeguards and Failure Modes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4.6.1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4.6.2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4.6.3</w:t>
        </w:r>
      </w:hyperlink>
    </w:p>
    <w:p>
      <w:pPr>
        <w:pStyle w:val="BlockText"/>
      </w:pPr>
      <w:r>
        <w:rPr>
          <w:b/>
          <w:bCs/>
        </w:rPr>
        <w:t xml:space="preserve">Rationale — Why plan for governance failure up front</w:t>
      </w:r>
    </w:p>
    <w:p>
      <w:pPr>
        <w:pStyle w:val="BlockText"/>
      </w:pPr>
      <w:r>
        <w:t xml:space="preserve">Every governance system fails somewhere — captured by a subgroup, frozen by informal vetoes, drifted by a role holder who quietly expanded their remit. Naming the specific failure modes in advance, wiring in challenge routes that cannot be retaliated against, and requiring a formal review when failures accumulate, is what keeps governance from slowly hollowing out while no one is watching.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For each named failure mode, state the safeguard. Include a trigger that forces a Constitutional review if failures accumulate.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Power concentration:</w:t>
      </w:r>
      <w:r>
        <w:t xml:space="preserve"> 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Informal vetoes:</w:t>
      </w:r>
      <w:r>
        <w:t xml:space="preserve"> </w:t>
      </w:r>
      <w:r>
        <w:rPr>
          <w:i/>
          <w:iCs/>
        </w:rPr>
        <w:t xml:space="preserve">&lt;rule that only written, reasoned objections submitted via the defined process carry weight.&gt;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Decision capture:</w:t>
      </w:r>
      <w:r>
        <w:t xml:space="preserve"> 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Founder/role entrenchment:</w:t>
      </w:r>
      <w:r>
        <w:t xml:space="preserve"> </w:t>
      </w:r>
      <w:r>
        <w:rPr>
          <w:i/>
          <w:iCs/>
        </w:rPr>
        <w:t xml:space="preserve">&lt;rule that no role grants permanent authority; founders hold no special governance authority beyond membership state.&gt;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Challenge without retaliation:</w:t>
      </w:r>
      <w:r>
        <w:t xml:space="preserve"> </w:t>
      </w:r>
      <w:r>
        <w:rPr>
          <w:i/>
          <w:iCs/>
        </w:rPr>
        <w:t xml:space="preserve">&lt;reference Layer 4 anti-retaliation provisions.&gt;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Persistent failure trigger:</w:t>
      </w:r>
      <w:r>
        <w:t xml:space="preserve"> </w:t>
      </w:r>
      <w:r>
        <w:rPr>
          <w:i/>
          <w:iCs/>
        </w:rPr>
        <w:t xml:space="preserve">&lt;e.g. three or more governance failures within X months trigger a Constitutional review.&gt;</w:t>
      </w:r>
    </w:p>
    <w:p>
      <w:r>
        <w:pict>
          <v:rect style="width:0;height:1.5pt" o:hralign="center" o:hrstd="t" o:hr="t"/>
        </w:pict>
      </w:r>
    </w:p>
    <w:bookmarkEnd w:id="23"/>
    <w:bookmarkStart w:id="24" w:name="ratification-record"/>
    <w:p>
      <w:pPr>
        <w:pStyle w:val="Heading2"/>
      </w:pPr>
      <w:r>
        <w:t xml:space="preserve">Ratification Record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Adopted:</w:t>
      </w:r>
      <w:r>
        <w:t xml:space="preserve"> 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Decision type:</w:t>
      </w:r>
      <w:r>
        <w:t xml:space="preserve"> </w:t>
      </w:r>
      <w:r>
        <w:t xml:space="preserve">Constitutional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Version:</w:t>
      </w:r>
      <w:r>
        <w:t xml:space="preserve"> 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Decision record:</w:t>
      </w:r>
      <w:r>
        <w:t xml:space="preserve"> 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articles/rcos-core/v0-1/layer-2-governance-decision-logic#45-governance-protocol" TargetMode="External" /><Relationship Type="http://schemas.openxmlformats.org/officeDocument/2006/relationships/hyperlink" Id="rId15" Target="https://blueprint.ecohubs.community/articles/rcos-core/v0-1/layer-2-governance-decision-logic#46-safeguards-and-failure-modes" TargetMode="External" /><Relationship Type="http://schemas.openxmlformats.org/officeDocument/2006/relationships/hyperlink" Id="rId16" Target="https://blueprint.ecohubs.community/articles/rcos-core/v0-1/layer-2-governance-decision-logic#47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2/governance-protoco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articles/rcos-core/v0-1/layer-2-governance-decision-logic#45-governance-protocol" TargetMode="External" /><Relationship Type="http://schemas.openxmlformats.org/officeDocument/2006/relationships/hyperlink" Id="rId15" Target="https://blueprint.ecohubs.community/articles/rcos-core/v0-1/layer-2-governance-decision-logic#46-safeguards-and-failure-modes" TargetMode="External" /><Relationship Type="http://schemas.openxmlformats.org/officeDocument/2006/relationships/hyperlink" Id="rId16" Target="https://blueprint.ecohubs.community/articles/rcos-core/v0-1/layer-2-governance-decision-logic#47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2/governance-protoco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2026-04-29T01:58:15Z</dcterms:created>
  <dcterms:modified xsi:type="dcterms:W3CDTF">2026-04-29T01:58:15Z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Governance Protocol</vt:lpwstr>
  </property>
</Properties>
</file>