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609600" cy="609600"/>
            <wp:effectExtent b="0" l="0" r="0" t="0"/>
            <wp:docPr descr="RCOS" title="" id="10" name="Picture"/>
            <a:graphic>
              <a:graphicData uri="http://schemas.openxmlformats.org/drawingml/2006/picture">
                <pic:pic>
                  <pic:nvPicPr>
                    <pic:cNvPr descr="/Users/el_stefano/Documents/Development/svelte/regenerative-community-blueprint/scripts/logo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bCs/>
        </w:rPr>
        <w:t xml:space="preserve">RCOS — Regenerative Community Operating System</w:t>
      </w:r>
    </w:p>
    <w:bookmarkStart w:id="21" w:name="purpose-charter"/>
    <w:p>
      <w:pPr>
        <w:pStyle w:val="Heading1"/>
      </w:pPr>
      <w:r>
        <w:t xml:space="preserve">Purpose Charter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Generated:</w:t>
      </w:r>
      <w:r>
        <w:t xml:space="preserve"> </w:t>
      </w:r>
      <w:r>
        <w:t xml:space="preserve">2026-04-29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Source (latest version):</w:t>
      </w:r>
      <w:r>
        <w:t xml:space="preserve"> </w:t>
      </w:r>
      <w:hyperlink r:id="rId12">
        <w:r>
          <w:rPr>
            <w:rStyle w:val="Hyperlink"/>
          </w:rPr>
          <w:t xml:space="preserve">https://blueprint.ecohubs.community/articles/rcos-templates/layer-0/purpose-charter</w:t>
        </w:r>
      </w:hyperlink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All RCOS templates:</w:t>
      </w:r>
      <w:r>
        <w:t xml:space="preserve"> </w:t>
      </w:r>
      <w:hyperlink r:id="rId13">
        <w:r>
          <w:rPr>
            <w:rStyle w:val="Hyperlink"/>
          </w:rPr>
          <w:t xml:space="preserve">https://blueprint.ecohubs.community/articles/rcos-templates</w:t>
        </w:r>
      </w:hyperlink>
    </w:p>
    <w:p>
      <w:r>
        <w:pict>
          <v:rect style="width:0;height:1.5pt" o:hralign="center" o:hrstd="t" o:hr="t"/>
        </w:pic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Layer:</w:t>
      </w:r>
      <w:r>
        <w:t xml:space="preserve"> </w:t>
      </w:r>
      <w:r>
        <w:t xml:space="preserve">0 — Identity &amp; Scope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Status:</w:t>
      </w:r>
      <w:r>
        <w:t xml:space="preserve"> </w:t>
      </w:r>
      <w:r>
        <w:t xml:space="preserve">Template — adapt for your community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RCOS reference:</w:t>
      </w:r>
      <w:r>
        <w:t xml:space="preserve"> </w:t>
      </w:r>
      <w:hyperlink r:id="rId14">
        <w:r>
          <w:rPr>
            <w:rStyle w:val="Hyperlink"/>
          </w:rPr>
          <w:t xml:space="preserve">§2.1</w:t>
        </w:r>
      </w:hyperlink>
      <w:r>
        <w:t xml:space="preserve">,</w:t>
      </w:r>
      <w:r>
        <w:t xml:space="preserve"> </w:t>
      </w:r>
      <w:hyperlink r:id="rId15">
        <w:r>
          <w:rPr>
            <w:rStyle w:val="Hyperlink"/>
          </w:rPr>
          <w:t xml:space="preserve">§2.5</w:t>
        </w:r>
      </w:hyperlink>
    </w:p>
    <w:p>
      <w:r>
        <w:pict>
          <v:rect style="width:0;height:1.5pt" o:hralign="center" o:hrstd="t" o:hr="t"/>
        </w:pict>
      </w:r>
    </w:p>
    <w:bookmarkStart w:id="16" w:name="primary-purpose"/>
    <w:p>
      <w:pPr>
        <w:pStyle w:val="Heading2"/>
      </w:pPr>
      <w:r>
        <w:t xml:space="preserve">Primary Purpose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2.1.1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2.1.2</w:t>
        </w:r>
      </w:hyperlink>
      <w:r>
        <w:rPr>
          <w:i/>
          <w:iCs/>
        </w:rPr>
        <w:t xml:space="preserve">,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2.1.5</w:t>
        </w:r>
      </w:hyperlink>
    </w:p>
    <w:p>
      <w:pPr>
        <w:pStyle w:val="BlockText"/>
      </w:pPr>
      <w:r>
        <w:rPr>
          <w:b/>
          <w:bCs/>
        </w:rPr>
        <w:t xml:space="preserve">Rationale — Why a single enduring purpose</w:t>
      </w:r>
    </w:p>
    <w:p>
      <w:pPr>
        <w:pStyle w:val="BlockText"/>
      </w:pPr>
      <w:r>
        <w:t xml:space="preserve">Every decision, role, and allocation of resources downstream has to stay consistent with one thing — the community’s primary purpose. If it drifts, shifts with trends, or gets rewritten to justify the latest project, there is nothing left to anchor governance to. A single, stable primary purpose is the constitutional north star: strategies change, the purpose does not.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State exactly one primary purpose. It must describe the enduring reason your community exists — not a project, strategy, or short-term goal. One or two sentences.</w:t>
      </w:r>
    </w:p>
    <w:p>
      <w:pPr>
        <w:pStyle w:val="FirstParagraph"/>
      </w:pPr>
      <w:r>
        <w:rPr>
          <w:i/>
          <w:iCs/>
        </w:rPr>
        <w:t xml:space="preserve">&lt;Your community’s primary purpose, in one or two sentences.&gt;</w:t>
      </w:r>
    </w:p>
    <w:bookmarkEnd w:id="16"/>
    <w:bookmarkStart w:id="17" w:name="secondary-purposes"/>
    <w:p>
      <w:pPr>
        <w:pStyle w:val="Heading2"/>
      </w:pPr>
      <w:r>
        <w:t xml:space="preserve">Secondary Purposes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2.1.4</w:t>
        </w:r>
      </w:hyperlink>
    </w:p>
    <w:p>
      <w:pPr>
        <w:pStyle w:val="BlockText"/>
      </w:pPr>
      <w:r>
        <w:rPr>
          <w:b/>
          <w:bCs/>
        </w:rPr>
        <w:t xml:space="preserve">Rationale — Why allow secondary purposes</w:t>
      </w:r>
    </w:p>
    <w:p>
      <w:pPr>
        <w:pStyle w:val="BlockText"/>
      </w:pPr>
      <w:r>
        <w:t xml:space="preserve">A community rarely does only one thing. Secondary purposes make space for the other concrete outcomes the community pursues — but they are subordinate. If a secondary purpose ever conflicts with the primary, the primary wins. Declaring them explicitly prevents scope creep from masquerading as core work.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List concrete secondary outcomes the community pursues. They must not conflict with or override the primary purpose. Remove the section entirely if you have none.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&lt;Secondary purpose 1.&gt;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&lt;Secondary purpose 2.&gt;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&lt;Secondary purpose 3.&gt;</w:t>
      </w:r>
    </w:p>
    <w:bookmarkEnd w:id="17"/>
    <w:bookmarkStart w:id="18" w:name="non-goals-and-exclusions"/>
    <w:p>
      <w:pPr>
        <w:pStyle w:val="Heading2"/>
      </w:pPr>
      <w:r>
        <w:t xml:space="preserve">Non-Goals and Exclusions</w:t>
      </w:r>
    </w:p>
    <w:p>
      <w:pPr>
        <w:pStyle w:val="BlockText"/>
      </w:pPr>
      <w:r>
        <w:rPr>
          <w:b/>
          <w:bCs/>
        </w:rPr>
        <w:t xml:space="preserve">Rationale — Why state what the community is not</w:t>
      </w:r>
    </w:p>
    <w:p>
      <w:pPr>
        <w:pStyle w:val="BlockText"/>
      </w:pPr>
      <w:r>
        <w:t xml:space="preserve">Communities drift by accretion — one uncontested assumption at a time. Naming what the community is explicitly</w:t>
      </w:r>
      <w:r>
        <w:t xml:space="preserve"> </w:t>
      </w:r>
      <w:r>
        <w:rPr>
          <w:i/>
          <w:iCs/>
        </w:rPr>
        <w:t xml:space="preserve">not</w:t>
      </w:r>
      <w:r>
        <w:t xml:space="preserve"> </w:t>
      </w:r>
      <w:r>
        <w:t xml:space="preserve">makes boundary violations visible early, and gives anyone a clear basis to object before an activity becomes normalized. Silence here gets read as consent.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Name the things your community is explicitly NOT, especially identities or roles others might assume by default (political party, investment vehicle, religious group, etc.).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&lt;Non-goal 1.&gt;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&lt;Non-goal 2.&gt;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&lt;Non-goal 3.&gt;</w:t>
      </w:r>
    </w:p>
    <w:bookmarkEnd w:id="18"/>
    <w:bookmarkStart w:id="19" w:name="conditions-for-purpose-change"/>
    <w:p>
      <w:pPr>
        <w:pStyle w:val="Heading2"/>
      </w:pPr>
      <w:r>
        <w:t xml:space="preserve">Conditions for Purpose Change</w:t>
      </w:r>
    </w:p>
    <w:p>
      <w:pPr>
        <w:pStyle w:val="FirstParagraph"/>
      </w:pPr>
      <w:r>
        <w:rPr>
          <w:i/>
          <w:iCs/>
        </w:rPr>
        <w:t xml:space="preserve">RCOS clauses:</w:t>
      </w:r>
      <w:r>
        <w:rPr>
          <w:i/>
          <w:iCs/>
        </w:rPr>
        <w:t xml:space="preserve"> </w:t>
      </w:r>
      <w:hyperlink r:id="rId14">
        <w:r>
          <w:rPr>
            <w:rStyle w:val="Hyperlink"/>
            <w:i/>
            <w:iCs/>
          </w:rPr>
          <w:t xml:space="preserve">2.1.3</w:t>
        </w:r>
      </w:hyperlink>
    </w:p>
    <w:p>
      <w:pPr>
        <w:pStyle w:val="BlockText"/>
      </w:pPr>
      <w:r>
        <w:rPr>
          <w:b/>
          <w:bCs/>
        </w:rPr>
        <w:t xml:space="preserve">Rationale — Why make changing the purpose hard</w:t>
      </w:r>
    </w:p>
    <w:p>
      <w:pPr>
        <w:pStyle w:val="BlockText"/>
      </w:pPr>
      <w:r>
        <w:t xml:space="preserve">Purpose is the one thing everything else depends on. If it were easy to change, nothing above it in the stack — membership, governance, invariants — could be trusted to mean the same thing from one year to the next. Constitutional-level thresholds and a ratification delay force a deliberate, visible act, not a quiet drift.</w:t>
      </w:r>
    </w:p>
    <w:p>
      <w:pPr>
        <w:pStyle w:val="BlockText"/>
      </w:pPr>
      <w:r>
        <w:rPr>
          <w:b/>
          <w:bCs/>
        </w:rPr>
        <w:t xml:space="preserve">Instructions — How to fill this in</w:t>
      </w:r>
    </w:p>
    <w:p>
      <w:pPr>
        <w:pStyle w:val="BlockText"/>
      </w:pPr>
      <w:r>
        <w:t xml:space="preserve">Describe the change procedure. At minimum: the decision type required for the primary purpose (Constitutional, per Layer 2), the threshold, the ratification delay, and where the change is recorded (Layer 6 version history). Secondary purposes typically need a lower bar.</w:t>
      </w:r>
    </w:p>
    <w:p>
      <w:pPr>
        <w:pStyle w:val="FirstParagraph"/>
      </w:pPr>
      <w:r>
        <w:t xml:space="preserve">The primary purpose may only be changed through a Constitutional decision as defined in the Decision Matrix (Layer 2), requiring</w:t>
      </w:r>
      <w:r>
        <w:t xml:space="preserve"> </w:t>
      </w:r>
      <w:r>
        <w:rPr>
          <w:i/>
          <w:iCs/>
        </w:rPr>
        <w:t xml:space="preserve">&lt;threshold, e.g. supermajority of Full Members ≥⅔ of votes cast&gt;</w:t>
      </w:r>
      <w:r>
        <w:t xml:space="preserve">, followed by a ratification period of no less than</w:t>
      </w:r>
      <w:r>
        <w:t xml:space="preserve"> </w:t>
      </w:r>
      <w:r>
        <w:rPr>
          <w:i/>
          <w:iCs/>
        </w:rPr>
        <w:t xml:space="preserve">&lt;duration, e.g. 30 days&gt;</w:t>
      </w:r>
      <w:r>
        <w:t xml:space="preserve">. Secondary purposes may be changed through a Strategic decision. Any change must be recorded in the Version History (Layer 6).</w:t>
      </w:r>
    </w:p>
    <w:p>
      <w:r>
        <w:pict>
          <v:rect style="width:0;height:1.5pt" o:hralign="center" o:hrstd="t" o:hr="t"/>
        </w:pict>
      </w:r>
    </w:p>
    <w:bookmarkEnd w:id="19"/>
    <w:bookmarkStart w:id="20" w:name="ratification-record"/>
    <w:p>
      <w:pPr>
        <w:pStyle w:val="Heading2"/>
      </w:pPr>
      <w:r>
        <w:t xml:space="preserve">Ratification Record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Adopted: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Decision type:</w:t>
      </w:r>
      <w:r>
        <w:t xml:space="preserve"> </w:t>
      </w:r>
      <w:r>
        <w:t xml:space="preserve">Constitutional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Version:</w:t>
      </w:r>
      <w:r>
        <w:t xml:space="preserve"> </w:t>
      </w:r>
    </w:p>
    <w:p>
      <w:pPr>
        <w:pStyle w:val="Compact"/>
        <w:numPr>
          <w:ilvl w:val="0"/>
          <w:numId w:val="1005"/>
        </w:numPr>
      </w:pPr>
      <w:r>
        <w:rPr>
          <w:b/>
          <w:bCs/>
        </w:rPr>
        <w:t xml:space="preserve">Decision record:</w:t>
      </w:r>
      <w:r>
        <w:t xml:space="preserve"> 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hyperlink" Id="rId14" Target="https://blueprint.ecohubs.community/articles/rcos-core/v0-1/layer-0-identity-scope#21-purpose-definition" TargetMode="External" /><Relationship Type="http://schemas.openxmlformats.org/officeDocument/2006/relationships/hyperlink" Id="rId15" Target="https://blueprint.ecohubs.community/articles/rcos-core/v0-1/layer-0-identity-scope#2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0/purpose-charter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https://blueprint.ecohubs.community/articles/rcos-core/v0-1/layer-0-identity-scope#21-purpose-definition" TargetMode="External" /><Relationship Type="http://schemas.openxmlformats.org/officeDocument/2006/relationships/hyperlink" Id="rId15" Target="https://blueprint.ecohubs.community/articles/rcos-core/v0-1/layer-0-identity-scope#25-artifacts" TargetMode="External" /><Relationship Type="http://schemas.openxmlformats.org/officeDocument/2006/relationships/hyperlink" Id="rId13" Target="https://blueprint.ecohubs.community/articles/rcos-templates" TargetMode="External" /><Relationship Type="http://schemas.openxmlformats.org/officeDocument/2006/relationships/hyperlink" Id="rId12" Target="https://blueprint.ecohubs.community/articles/rcos-templates/layer-0/purpose-chart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2026-04-29T01:58:14Z</dcterms:created>
  <dcterms:modified xsi:type="dcterms:W3CDTF">2026-04-29T01:58:14Z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le-meta">
    <vt:lpwstr>Purpose Charter</vt:lpwstr>
  </property>
</Properties>
</file>