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8" w:name="invariants-register"/>
    <w:p>
      <w:pPr>
        <w:pStyle w:val="Heading1"/>
      </w:pPr>
      <w:r>
        <w:t xml:space="preserve">Invariants Register</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https://blueprint.ecohubs.community/articles/rcos-templates/layer-0/invariants-register</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0 — Identity &amp; Scope</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§2.3</w:t>
        </w:r>
      </w:hyperlink>
      <w:r>
        <w:t xml:space="preserve">,</w:t>
      </w:r>
      <w:r>
        <w:t xml:space="preserve"> </w:t>
      </w:r>
      <w:hyperlink r:id="rId15">
        <w:r>
          <w:rPr>
            <w:rStyle w:val="Hyperlink"/>
          </w:rPr>
          <w:t xml:space="preserve">§2.5</w:t>
        </w:r>
      </w:hyperlink>
    </w:p>
    <w:p>
      <w:pPr>
        <w:pStyle w:val="BlockText"/>
      </w:pPr>
      <w:r>
        <w:t xml:space="preserve">Invariants are constraints that MUST NOT be violated while they are in force. No decision, role, process, or emergency measure may override an invariant. If a conflict arises between an invariant and any other rule, the invariant prevails.</w:t>
      </w:r>
    </w:p>
    <w:p>
      <w:r>
        <w:pict>
          <v:rect style="width:0;height:1.5pt" o:hralign="center" o:hrstd="t" o:hr="t"/>
        </w:pict>
      </w:r>
    </w:p>
    <w:bookmarkStart w:id="16" w:name="active-invariants"/>
    <w:p>
      <w:pPr>
        <w:pStyle w:val="Heading2"/>
      </w:pPr>
      <w:r>
        <w:t xml:space="preserve">Active Invariants</w:t>
      </w:r>
    </w:p>
    <w:p>
      <w:pPr>
        <w:pStyle w:val="FirstParagraph"/>
      </w:pPr>
      <w:r>
        <w:rPr>
          <w:i/>
          <w:iCs/>
        </w:rPr>
        <w:t xml:space="preserve">RCOS clauses:</w:t>
      </w:r>
      <w:r>
        <w:rPr>
          <w:i/>
          <w:iCs/>
        </w:rPr>
        <w:t xml:space="preserve"> </w:t>
      </w:r>
      <w:hyperlink r:id="rId14">
        <w:r>
          <w:rPr>
            <w:rStyle w:val="Hyperlink"/>
            <w:i/>
            <w:iCs/>
          </w:rPr>
          <w:t xml:space="preserve">2.3.1</w:t>
        </w:r>
      </w:hyperlink>
      <w:r>
        <w:rPr>
          <w:i/>
          <w:iCs/>
        </w:rPr>
        <w:t xml:space="preserve">,</w:t>
      </w:r>
      <w:r>
        <w:rPr>
          <w:i/>
          <w:iCs/>
        </w:rPr>
        <w:t xml:space="preserve"> </w:t>
      </w:r>
      <w:hyperlink r:id="rId14">
        <w:r>
          <w:rPr>
            <w:rStyle w:val="Hyperlink"/>
            <w:i/>
            <w:iCs/>
          </w:rPr>
          <w:t xml:space="preserve">2.3.2</w:t>
        </w:r>
      </w:hyperlink>
      <w:r>
        <w:rPr>
          <w:i/>
          <w:iCs/>
        </w:rPr>
        <w:t xml:space="preserve">,</w:t>
      </w:r>
      <w:r>
        <w:rPr>
          <w:i/>
          <w:iCs/>
        </w:rPr>
        <w:t xml:space="preserve"> </w:t>
      </w:r>
      <w:hyperlink r:id="rId14">
        <w:r>
          <w:rPr>
            <w:rStyle w:val="Hyperlink"/>
            <w:i/>
            <w:iCs/>
          </w:rPr>
          <w:t xml:space="preserve">2.3.3</w:t>
        </w:r>
      </w:hyperlink>
      <w:r>
        <w:rPr>
          <w:i/>
          <w:iCs/>
        </w:rPr>
        <w:t xml:space="preserve">,</w:t>
      </w:r>
      <w:r>
        <w:rPr>
          <w:i/>
          <w:iCs/>
        </w:rPr>
        <w:t xml:space="preserve"> </w:t>
      </w:r>
      <w:hyperlink r:id="rId14">
        <w:r>
          <w:rPr>
            <w:rStyle w:val="Hyperlink"/>
            <w:i/>
            <w:iCs/>
          </w:rPr>
          <w:t xml:space="preserve">2.3.4</w:t>
        </w:r>
      </w:hyperlink>
      <w:r>
        <w:rPr>
          <w:i/>
          <w:iCs/>
        </w:rPr>
        <w:t xml:space="preserve">,</w:t>
      </w:r>
      <w:r>
        <w:rPr>
          <w:i/>
          <w:iCs/>
        </w:rPr>
        <w:t xml:space="preserve"> </w:t>
      </w:r>
      <w:hyperlink r:id="rId14">
        <w:r>
          <w:rPr>
            <w:rStyle w:val="Hyperlink"/>
            <w:i/>
            <w:iCs/>
          </w:rPr>
          <w:t xml:space="preserve">2.3.5</w:t>
        </w:r>
      </w:hyperlink>
      <w:r>
        <w:rPr>
          <w:i/>
          <w:iCs/>
        </w:rPr>
        <w:t xml:space="preserve">,</w:t>
      </w:r>
      <w:r>
        <w:rPr>
          <w:i/>
          <w:iCs/>
        </w:rPr>
        <w:t xml:space="preserve"> </w:t>
      </w:r>
      <w:hyperlink r:id="rId14">
        <w:r>
          <w:rPr>
            <w:rStyle w:val="Hyperlink"/>
            <w:i/>
            <w:iCs/>
          </w:rPr>
          <w:t xml:space="preserve">2.3.6</w:t>
        </w:r>
      </w:hyperlink>
    </w:p>
    <w:p>
      <w:pPr>
        <w:pStyle w:val="BlockText"/>
      </w:pPr>
      <w:r>
        <w:rPr>
          <w:b/>
          <w:bCs/>
        </w:rPr>
        <w:t xml:space="preserve">Rationale — Why are invariants unoverridable</w:t>
      </w:r>
    </w:p>
    <w:p>
      <w:pPr>
        <w:pStyle w:val="BlockText"/>
      </w:pPr>
      <w:r>
        <w:t xml:space="preserve">Invariants are the hard floor of the system — the things that must hold true even under pressure, emergency, or a popular vote. If any decision, role, or crisis measure could override them, they would stop being constraints and become preferences. Listing them explicitly and binding them across every layer is what makes the governance system trustworthy under stress, not just on calm days.</w:t>
      </w:r>
    </w:p>
    <w:p>
      <w:pPr>
        <w:pStyle w:val="BlockText"/>
      </w:pPr>
      <w:r>
        <w:rPr>
          <w:b/>
          <w:bCs/>
        </w:rPr>
        <w:t xml:space="preserve">Instructions — How to fill this in</w:t>
      </w:r>
    </w:p>
    <w:p>
      <w:pPr>
        <w:pStyle w:val="BlockText"/>
      </w:pPr>
      <w:r>
        <w:t xml:space="preserve">Each invariant is a hard constraint. Keep them few, specific, and absolute — phrased so that any violation is unambiguously identifiable. Common categories: purpose protection, authority traceability, exit rights, ideological neutrality, non-extraction, safety primacy.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ID</w:t>
            </w:r>
          </w:p>
        </w:tc>
        <w:tc>
          <w:tcPr/>
          <w:p>
            <w:pPr>
              <w:pStyle w:val="Compact"/>
            </w:pPr>
            <w:r>
              <w:t xml:space="preserve">Invariant</w:t>
            </w:r>
          </w:p>
        </w:tc>
        <w:tc>
          <w:tcPr/>
          <w:p>
            <w:pPr>
              <w:pStyle w:val="Compact"/>
            </w:pPr>
            <w:r>
              <w:t xml:space="preserve">Added</w:t>
            </w:r>
          </w:p>
        </w:tc>
        <w:tc>
          <w:tcPr/>
          <w:p>
            <w:pPr>
              <w:pStyle w:val="Compact"/>
            </w:pPr>
            <w:r>
              <w:t xml:space="preserve">Decision record</w:t>
            </w:r>
          </w:p>
        </w:tc>
      </w:tr>
      <w:tr>
        <w:tc>
          <w:tcPr/>
          <w:p>
            <w:pPr>
              <w:pStyle w:val="Compact"/>
            </w:pPr>
            <w:r>
              <w:t xml:space="preserve">INV-001</w:t>
            </w:r>
          </w:p>
        </w:tc>
        <w:tc>
          <w:tcPr/>
          <w:p>
            <w:pPr>
              <w:pStyle w:val="Compact"/>
            </w:pPr>
            <w:r>
              <w:rPr>
                <w:i/>
                <w:iCs/>
              </w:rPr>
              <w:t xml:space="preserve">&lt;Invariant statement, e.g. The primary purpose may never be overridden by any operational or strategic decision, role, or emergency measure.&gt;</w:t>
            </w:r>
          </w:p>
        </w:tc>
        <w:tc>
          <w:tcPr/>
          <w:p>
            <w:pPr>
              <w:pStyle w:val="Compact"/>
            </w:pPr>
          </w:p>
        </w:tc>
        <w:tc>
          <w:tcPr/>
          <w:p>
            <w:pPr>
              <w:pStyle w:val="Compact"/>
            </w:pPr>
            <w:r>
              <w:t xml:space="preserve">[link]</w:t>
            </w:r>
          </w:p>
        </w:tc>
      </w:tr>
      <w:tr>
        <w:tc>
          <w:tcPr/>
          <w:p>
            <w:pPr>
              <w:pStyle w:val="Compact"/>
            </w:pPr>
            <w:r>
              <w:t xml:space="preserve">INV-002</w:t>
            </w:r>
          </w:p>
        </w:tc>
        <w:tc>
          <w:tcPr/>
          <w:p>
            <w:pPr>
              <w:pStyle w:val="Compact"/>
            </w:pPr>
            <w:r>
              <w:rPr>
                <w:i/>
                <w:iCs/>
              </w:rPr>
              <w:t xml:space="preserve">&lt;Invariant statement, e.g. Authority must always be explicit and traceable to the governance system — no person or role may hold or exercise undeclared authority.&gt;</w:t>
            </w:r>
          </w:p>
        </w:tc>
        <w:tc>
          <w:tcPr/>
          <w:p>
            <w:pPr>
              <w:pStyle w:val="Compact"/>
            </w:pPr>
          </w:p>
        </w:tc>
        <w:tc>
          <w:tcPr/>
          <w:p>
            <w:pPr>
              <w:pStyle w:val="Compact"/>
            </w:pPr>
            <w:r>
              <w:t xml:space="preserve">[link]</w:t>
            </w:r>
          </w:p>
        </w:tc>
      </w:tr>
      <w:tr>
        <w:tc>
          <w:tcPr/>
          <w:p>
            <w:pPr>
              <w:pStyle w:val="Compact"/>
            </w:pPr>
            <w:r>
              <w:t xml:space="preserve">INV-003</w:t>
            </w:r>
          </w:p>
        </w:tc>
        <w:tc>
          <w:tcPr/>
          <w:p>
            <w:pPr>
              <w:pStyle w:val="Compact"/>
            </w:pPr>
            <w:r>
              <w:rPr>
                <w:i/>
                <w:iCs/>
              </w:rPr>
              <w:t xml:space="preserve">&lt;Invariant statement, e.g. Exit from the community must always be possible and must never be blocked, penalised, or made conditional beyond what is defined in Layer 1.&gt;</w:t>
            </w:r>
          </w:p>
        </w:tc>
        <w:tc>
          <w:tcPr/>
          <w:p>
            <w:pPr>
              <w:pStyle w:val="Compact"/>
            </w:pPr>
          </w:p>
        </w:tc>
        <w:tc>
          <w:tcPr/>
          <w:p>
            <w:pPr>
              <w:pStyle w:val="Compact"/>
            </w:pPr>
            <w:r>
              <w:t xml:space="preserve">[link]</w:t>
            </w:r>
          </w:p>
        </w:tc>
      </w:tr>
      <w:tr>
        <w:tc>
          <w:tcPr/>
          <w:p>
            <w:pPr>
              <w:pStyle w:val="Compact"/>
            </w:pPr>
            <w:r>
              <w:t xml:space="preserve">INV-004</w:t>
            </w:r>
          </w:p>
        </w:tc>
        <w:tc>
          <w:tcPr/>
          <w:p>
            <w:pPr>
              <w:pStyle w:val="Compact"/>
            </w:pPr>
          </w:p>
        </w:tc>
        <w:tc>
          <w:tcPr/>
          <w:p>
            <w:pPr>
              <w:pStyle w:val="Compact"/>
            </w:pPr>
          </w:p>
        </w:tc>
        <w:tc>
          <w:tcPr/>
          <w:p>
            <w:pPr>
              <w:pStyle w:val="Compact"/>
            </w:pPr>
            <w:r>
              <w:t xml:space="preserve">[link]</w:t>
            </w:r>
          </w:p>
        </w:tc>
      </w:tr>
      <w:tr>
        <w:tc>
          <w:tcPr/>
          <w:p>
            <w:pPr>
              <w:pStyle w:val="Compact"/>
            </w:pPr>
            <w:r>
              <w:t xml:space="preserve">INV-005</w:t>
            </w:r>
          </w:p>
        </w:tc>
        <w:tc>
          <w:tcPr/>
          <w:p>
            <w:pPr>
              <w:pStyle w:val="Compact"/>
            </w:pPr>
          </w:p>
        </w:tc>
        <w:tc>
          <w:tcPr/>
          <w:p>
            <w:pPr>
              <w:pStyle w:val="Compact"/>
            </w:pPr>
          </w:p>
        </w:tc>
        <w:tc>
          <w:tcPr/>
          <w:p>
            <w:pPr>
              <w:pStyle w:val="Compact"/>
            </w:pPr>
            <w:r>
              <w:t xml:space="preserve">[link]</w:t>
            </w:r>
          </w:p>
        </w:tc>
      </w:tr>
      <w:tr>
        <w:tc>
          <w:tcPr/>
          <w:p>
            <w:pPr>
              <w:pStyle w:val="Compact"/>
            </w:pPr>
            <w:r>
              <w:t xml:space="preserve">INV-006</w:t>
            </w:r>
          </w:p>
        </w:tc>
        <w:tc>
          <w:tcPr/>
          <w:p>
            <w:pPr>
              <w:pStyle w:val="Compact"/>
            </w:pPr>
            <w:r>
              <w:rPr>
                <w:i/>
                <w:iCs/>
              </w:rPr>
              <w:t xml:space="preserve">&lt;Invariant statement, e.g. Physical, psychological, and child safety always override participation rights, role continuity, and reputational concerns.&gt;</w:t>
            </w:r>
          </w:p>
        </w:tc>
        <w:tc>
          <w:tcPr/>
          <w:p>
            <w:pPr>
              <w:pStyle w:val="Compact"/>
            </w:pPr>
          </w:p>
        </w:tc>
        <w:tc>
          <w:tcPr/>
          <w:p>
            <w:pPr>
              <w:pStyle w:val="Compact"/>
            </w:pPr>
            <w:r>
              <w:t xml:space="preserve">[link]</w:t>
            </w:r>
          </w:p>
        </w:tc>
      </w:tr>
    </w:tbl>
    <w:p>
      <w:r>
        <w:pict>
          <v:rect style="width:0;height:1.5pt" o:hralign="center" o:hrstd="t" o:hr="t"/>
        </w:pict>
      </w:r>
    </w:p>
    <w:bookmarkEnd w:id="16"/>
    <w:bookmarkStart w:id="17" w:name="ratification-record"/>
    <w:p>
      <w:pPr>
        <w:pStyle w:val="Heading2"/>
      </w:pPr>
      <w:r>
        <w:t xml:space="preserve">Ratification Record</w:t>
      </w:r>
    </w:p>
    <w:p>
      <w:pPr>
        <w:pStyle w:val="Compact"/>
        <w:numPr>
          <w:ilvl w:val="0"/>
          <w:numId w:val="1003"/>
        </w:numPr>
      </w:pPr>
      <w:r>
        <w:rPr>
          <w:b/>
          <w:bCs/>
        </w:rPr>
        <w:t xml:space="preserve">Adopted:</w:t>
      </w:r>
      <w:r>
        <w:t xml:space="preserve"> </w:t>
      </w:r>
    </w:p>
    <w:p>
      <w:pPr>
        <w:pStyle w:val="Compact"/>
        <w:numPr>
          <w:ilvl w:val="0"/>
          <w:numId w:val="1003"/>
        </w:numPr>
      </w:pPr>
      <w:r>
        <w:rPr>
          <w:b/>
          <w:bCs/>
        </w:rPr>
        <w:t xml:space="preserve">Decision type:</w:t>
      </w:r>
      <w:r>
        <w:t xml:space="preserve"> </w:t>
      </w:r>
      <w:r>
        <w:t xml:space="preserve">Constitutional</w:t>
      </w:r>
    </w:p>
    <w:p>
      <w:pPr>
        <w:pStyle w:val="Compact"/>
        <w:numPr>
          <w:ilvl w:val="0"/>
          <w:numId w:val="1003"/>
        </w:numPr>
      </w:pPr>
      <w:r>
        <w:rPr>
          <w:b/>
          <w:bCs/>
        </w:rPr>
        <w:t xml:space="preserve">Version:</w:t>
      </w:r>
      <w:r>
        <w:t xml:space="preserve"> </w:t>
      </w:r>
    </w:p>
    <w:p>
      <w:pPr>
        <w:pStyle w:val="Compact"/>
        <w:numPr>
          <w:ilvl w:val="0"/>
          <w:numId w:val="1003"/>
        </w:numPr>
      </w:pPr>
      <w:r>
        <w:rPr>
          <w:b/>
          <w:bCs/>
        </w:rPr>
        <w:t xml:space="preserve">Decision record:</w:t>
      </w:r>
      <w:r>
        <w:t xml:space="preserve"> </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0-identity-scope#23-invariants" TargetMode="External" /><Relationship Type="http://schemas.openxmlformats.org/officeDocument/2006/relationships/hyperlink" Id="rId15" Target="https://blueprint.ecohubs.community/articles/rcos-core/v0-1/layer-0-identity-scope#25-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0/invariants-regis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0-identity-scope#23-invariants" TargetMode="External" /><Relationship Type="http://schemas.openxmlformats.org/officeDocument/2006/relationships/hyperlink" Id="rId15" Target="https://blueprint.ecohubs.community/articles/rcos-core/v0-1/layer-0-identity-scope#25-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0/invariants-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2026-04-29T01:58:14Z</dcterms:created>
  <dcterms:modified xsi:type="dcterms:W3CDTF">2026-04-29T01:58:14Z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Invariants Register</vt:lpwstr>
  </property>
</Properties>
</file>