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18" w:name="autoritätenregister"/>
    <w:p>
      <w:pPr>
        <w:pStyle w:val="Heading1"/>
      </w:pPr>
      <w:r>
        <w:t xml:space="preserve">Autoritätenregister</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https://blueprint.ecohubs.community/de/articles/rcos-templates/layer-2/authority-registry</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Schicht:</w:t>
      </w:r>
      <w:r>
        <w:t xml:space="preserve"> </w:t>
      </w:r>
      <w:r>
        <w:t xml:space="preserve">2 — Governance &amp; Entscheidungslogik</w:t>
      </w:r>
    </w:p>
    <w:p>
      <w:pPr>
        <w:pStyle w:val="Compact"/>
        <w:numPr>
          <w:ilvl w:val="0"/>
          <w:numId w:val="1002"/>
        </w:numPr>
      </w:pPr>
      <w:r>
        <w:rPr>
          <w:b/>
          <w:bCs/>
        </w:rPr>
        <w:t xml:space="preserve">Status:</w:t>
      </w:r>
      <w:r>
        <w:t xml:space="preserve"> </w:t>
      </w:r>
      <w:r>
        <w:t xml:space="preserve">Vorlage — an deine Gemeinschaft anpassen</w:t>
      </w:r>
    </w:p>
    <w:p>
      <w:pPr>
        <w:pStyle w:val="Compact"/>
        <w:numPr>
          <w:ilvl w:val="0"/>
          <w:numId w:val="1002"/>
        </w:numPr>
      </w:pPr>
      <w:r>
        <w:rPr>
          <w:b/>
          <w:bCs/>
        </w:rPr>
        <w:t xml:space="preserve">RCOS-Referenz:</w:t>
      </w:r>
      <w:r>
        <w:t xml:space="preserve"> </w:t>
      </w:r>
      <w:hyperlink r:id="rId14">
        <w:r>
          <w:rPr>
            <w:rStyle w:val="Hyperlink"/>
          </w:rPr>
          <w:t xml:space="preserve">§4.3</w:t>
        </w:r>
      </w:hyperlink>
      <w:r>
        <w:t xml:space="preserve">,</w:t>
      </w:r>
      <w:r>
        <w:t xml:space="preserve"> </w:t>
      </w:r>
      <w:hyperlink r:id="rId15">
        <w:r>
          <w:rPr>
            <w:rStyle w:val="Hyperlink"/>
          </w:rPr>
          <w:t xml:space="preserve">§4.7</w:t>
        </w:r>
      </w:hyperlink>
    </w:p>
    <w:p>
      <w:pPr>
        <w:pStyle w:val="BlockText"/>
      </w:pPr>
      <w:r>
        <w:t xml:space="preserve">Listet alle Rollen, Kreise oder Gremien auf, die Entscheidungsbefugnis besitzen, zusammen mit ihrem expliziten Geltungsbereich, ihren Grenzen und ihrer Amtszeit.</w:t>
      </w:r>
    </w:p>
    <w:p>
      <w:r>
        <w:pict>
          <v:rect style="width:0;height:1.5pt" o:hralign="center" o:hrstd="t" o:hr="t"/>
        </w:pict>
      </w:r>
    </w:p>
    <w:bookmarkStart w:id="16" w:name="registrierte-autoritäten"/>
    <w:p>
      <w:pPr>
        <w:pStyle w:val="Heading2"/>
      </w:pPr>
      <w:r>
        <w:t xml:space="preserve">Registrierte Autoritäten</w:t>
      </w:r>
    </w:p>
    <w:p>
      <w:pPr>
        <w:pStyle w:val="FirstParagraph"/>
      </w:pPr>
      <w:r>
        <w:rPr>
          <w:i/>
          <w:iCs/>
        </w:rPr>
        <w:t xml:space="preserve">RCOS-Klauseln:</w:t>
      </w:r>
      <w:r>
        <w:rPr>
          <w:i/>
          <w:iCs/>
        </w:rPr>
        <w:t xml:space="preserve"> </w:t>
      </w:r>
      <w:hyperlink r:id="rId14">
        <w:r>
          <w:rPr>
            <w:rStyle w:val="Hyperlink"/>
            <w:i/>
            <w:iCs/>
          </w:rPr>
          <w:t xml:space="preserve">4.3.1</w:t>
        </w:r>
      </w:hyperlink>
      <w:r>
        <w:rPr>
          <w:i/>
          <w:iCs/>
        </w:rPr>
        <w:t xml:space="preserve">,</w:t>
      </w:r>
      <w:r>
        <w:rPr>
          <w:i/>
          <w:iCs/>
        </w:rPr>
        <w:t xml:space="preserve"> </w:t>
      </w:r>
      <w:hyperlink r:id="rId14">
        <w:r>
          <w:rPr>
            <w:rStyle w:val="Hyperlink"/>
            <w:i/>
            <w:iCs/>
          </w:rPr>
          <w:t xml:space="preserve">4.3.2</w:t>
        </w:r>
      </w:hyperlink>
      <w:r>
        <w:rPr>
          <w:i/>
          <w:iCs/>
        </w:rPr>
        <w:t xml:space="preserve">,</w:t>
      </w:r>
      <w:r>
        <w:rPr>
          <w:i/>
          <w:iCs/>
        </w:rPr>
        <w:t xml:space="preserve"> </w:t>
      </w:r>
      <w:hyperlink r:id="rId14">
        <w:r>
          <w:rPr>
            <w:rStyle w:val="Hyperlink"/>
            <w:i/>
            <w:iCs/>
          </w:rPr>
          <w:t xml:space="preserve">4.3.3</w:t>
        </w:r>
      </w:hyperlink>
      <w:r>
        <w:rPr>
          <w:i/>
          <w:iCs/>
        </w:rPr>
        <w:t xml:space="preserve">,</w:t>
      </w:r>
      <w:r>
        <w:rPr>
          <w:i/>
          <w:iCs/>
        </w:rPr>
        <w:t xml:space="preserve"> </w:t>
      </w:r>
      <w:hyperlink r:id="rId14">
        <w:r>
          <w:rPr>
            <w:rStyle w:val="Hyperlink"/>
            <w:i/>
            <w:iCs/>
          </w:rPr>
          <w:t xml:space="preserve">4.3.4</w:t>
        </w:r>
      </w:hyperlink>
      <w:r>
        <w:rPr>
          <w:i/>
          <w:iCs/>
        </w:rPr>
        <w:t xml:space="preserve">,</w:t>
      </w:r>
      <w:r>
        <w:rPr>
          <w:i/>
          <w:iCs/>
        </w:rPr>
        <w:t xml:space="preserve"> </w:t>
      </w:r>
      <w:hyperlink r:id="rId14">
        <w:r>
          <w:rPr>
            <w:rStyle w:val="Hyperlink"/>
            <w:i/>
            <w:iCs/>
          </w:rPr>
          <w:t xml:space="preserve">4.3.5</w:t>
        </w:r>
      </w:hyperlink>
    </w:p>
    <w:p>
      <w:pPr>
        <w:pStyle w:val="BlockText"/>
      </w:pPr>
      <w:r>
        <w:rPr>
          <w:b/>
          <w:bCs/>
        </w:rPr>
        <w:t xml:space="preserve">Begründung — Warum jede Autorität schriftlich festhalten</w:t>
      </w:r>
    </w:p>
    <w:p>
      <w:pPr>
        <w:pStyle w:val="BlockText"/>
      </w:pPr>
      <w:r>
        <w:t xml:space="preserve">Autorität, die nicht explizit registriert ist, wird stillschweigend gefüllt — von wem auch immer am längsten dabei ist, am lautesten spricht oder die Schlüssel kontrolliert. Ein einziges Register, das jede Rolle benennt, ihren Geltungsbereich eingrenzt, ihre Grenzen festlegt und ihre Grundlage an einen Delegationsakt knüpft, macht unautorisiertes Handeln erkennbar und verhindert, dass Autorität aus Charisma, Seniorität oder Eigentum abgeleitet wird.</w:t>
      </w:r>
    </w:p>
    <w:p>
      <w:pPr>
        <w:pStyle w:val="BlockText"/>
      </w:pPr>
      <w:r>
        <w:rPr>
          <w:b/>
          <w:bCs/>
        </w:rPr>
        <w:t xml:space="preserve">Anleitung — Wie du das ausfüllst</w:t>
      </w:r>
    </w:p>
    <w:p>
      <w:pPr>
        <w:pStyle w:val="BlockText"/>
      </w:pPr>
      <w:r>
        <w:t xml:space="preserve">Liste für jede Rolle, jedes Gremium oder jeden Kreis, der Autorität besitzt, den Geltungsbereich der Autorität, harte Grenzen, Amtszeit/Dauer und die Grundlage (Mitgliedschaftsstatus, Delegationsakt usw.) auf. Das Kollektivgremium der Vollmitglieder ist selbst eine Autorität und gehört in diese Tabelle.</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Rolle / Gremium</w:t>
            </w:r>
          </w:p>
        </w:tc>
        <w:tc>
          <w:tcPr/>
          <w:p>
            <w:pPr>
              <w:pStyle w:val="Compact"/>
            </w:pPr>
            <w:r>
              <w:t xml:space="preserve">Geltungsbereich der Autorität</w:t>
            </w:r>
          </w:p>
        </w:tc>
        <w:tc>
          <w:tcPr/>
          <w:p>
            <w:pPr>
              <w:pStyle w:val="Compact"/>
            </w:pPr>
            <w:r>
              <w:t xml:space="preserve">Grenzen</w:t>
            </w:r>
          </w:p>
        </w:tc>
        <w:tc>
          <w:tcPr/>
          <w:p>
            <w:pPr>
              <w:pStyle w:val="Compact"/>
            </w:pPr>
            <w:r>
              <w:t xml:space="preserve">Amtszeit / Dauer</w:t>
            </w:r>
          </w:p>
        </w:tc>
        <w:tc>
          <w:tcPr/>
          <w:p>
            <w:pPr>
              <w:pStyle w:val="Compact"/>
            </w:pPr>
            <w:r>
              <w:t xml:space="preserve">Grundlage</w:t>
            </w:r>
          </w:p>
        </w:tc>
      </w:tr>
      <w:tr>
        <w:tc>
          <w:tcPr/>
          <w:p>
            <w:pPr>
              <w:pStyle w:val="Compact"/>
            </w:pPr>
            <w:r>
              <w:rPr>
                <w:i/>
                <w:iCs/>
              </w:rPr>
              <w:t xml:space="preserve">&lt;z. B. Vollmitglieder (kollektiv)&gt;</w:t>
            </w:r>
          </w:p>
        </w:tc>
        <w:tc>
          <w:tcPr/>
          <w:p>
            <w:pPr>
              <w:pStyle w:val="Compact"/>
            </w:pPr>
          </w:p>
        </w:tc>
        <w:tc>
          <w:tcPr/>
          <w:p>
            <w:pPr>
              <w:pStyle w:val="Compact"/>
            </w:pPr>
            <w:r>
              <w:rPr>
                <w:i/>
                <w:iCs/>
              </w:rPr>
              <w:t xml:space="preserve">&lt;Grenzen — darf Invarianten nicht außer Kraft setzen; darf nicht außerhalb der Entscheidungsmatrix handeln&gt;</w:t>
            </w:r>
          </w:p>
        </w:tc>
        <w:tc>
          <w:tcPr/>
          <w:p>
            <w:pPr>
              <w:pStyle w:val="Compact"/>
            </w:pPr>
          </w:p>
        </w:tc>
        <w:tc>
          <w:tcPr/>
          <w:p>
            <w:pPr>
              <w:pStyle w:val="Compact"/>
            </w:pPr>
            <w:r>
              <w:rPr>
                <w:i/>
                <w:iCs/>
              </w:rPr>
              <w:t xml:space="preserve">&lt;Grundlage — Mitgliedschaftsstatus&gt;</w:t>
            </w:r>
          </w:p>
        </w:tc>
      </w:tr>
      <w:tr>
        <w:tc>
          <w:tcPr/>
          <w:p>
            <w:pPr>
              <w:pStyle w:val="Compact"/>
            </w:pPr>
            <w:r>
              <w:rPr>
                <w:i/>
                <w:iCs/>
              </w:rPr>
              <w:t xml:space="preserve">&lt;z. B. Mitgliedschaftsverwaltung&gt;</w:t>
            </w:r>
          </w:p>
        </w:tc>
        <w:tc>
          <w:tcPr/>
          <w:p>
            <w:pPr>
              <w:pStyle w:val="Compact"/>
            </w:pPr>
          </w:p>
        </w:tc>
        <w:tc>
          <w:tcPr/>
          <w:p>
            <w:pPr>
              <w:pStyle w:val="Compact"/>
            </w:pPr>
          </w:p>
        </w:tc>
        <w:tc>
          <w:tcPr/>
          <w:p>
            <w:pPr>
              <w:pStyle w:val="Compact"/>
            </w:pPr>
          </w:p>
        </w:tc>
        <w:tc>
          <w:tcPr/>
          <w:p>
            <w:pPr>
              <w:pStyle w:val="Compact"/>
            </w:pPr>
            <w:r>
              <w:rPr>
                <w:i/>
                <w:iCs/>
              </w:rPr>
              <w:t xml:space="preserve">&lt;Grundlage — delegiert durch Vollmitglieder&gt;</w:t>
            </w:r>
          </w:p>
        </w:tc>
      </w:tr>
      <w:tr>
        <w:tc>
          <w:tcPr/>
          <w:p>
            <w:pPr>
              <w:pStyle w:val="Compact"/>
            </w:pPr>
            <w:r>
              <w:rPr>
                <w:i/>
                <w:iCs/>
              </w:rPr>
              <w:t xml:space="preserve">&lt;z. B. Finanz-Steward&gt;</w:t>
            </w:r>
          </w:p>
        </w:tc>
        <w:tc>
          <w:tcPr/>
          <w:p>
            <w:pPr>
              <w:pStyle w:val="Compact"/>
            </w:pPr>
          </w:p>
        </w:tc>
        <w:tc>
          <w:tcPr/>
          <w:p>
            <w:pPr>
              <w:pStyle w:val="Compact"/>
            </w:pPr>
            <w:r>
              <w:rPr>
                <w:i/>
                <w:iCs/>
              </w:rPr>
              <w:t xml:space="preserve">&lt;Grenzen — Ausgabenobergrenze&gt;</w:t>
            </w:r>
          </w:p>
        </w:tc>
        <w:tc>
          <w:tcPr/>
          <w:p>
            <w:pPr>
              <w:pStyle w:val="Compact"/>
            </w:pPr>
          </w:p>
        </w:tc>
        <w:tc>
          <w:tcPr/>
          <w:p>
            <w:pPr>
              <w:pStyle w:val="Compact"/>
            </w:pPr>
          </w:p>
        </w:tc>
      </w:tr>
      <w:tr>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bl>
    <w:p>
      <w:pPr>
        <w:pStyle w:val="BlockText"/>
      </w:pPr>
      <w:r>
        <w:rPr>
          <w:b/>
          <w:bCs/>
        </w:rPr>
        <w:t xml:space="preserve">Befangenheitsausschluss:</w:t>
      </w:r>
      <w:r>
        <w:t xml:space="preserve"> </w:t>
      </w:r>
      <w:r>
        <w:t xml:space="preserve">Eine Rolleninhaberin oder ein Rolleninhaber darf die delegierte Autorität nicht in Entscheidungen ausüben, bei denen ein direktes persönliches Interesse besteht. In solchen Fällen wird die Entscheidung über den Governance-Prozess eskaliert.</w:t>
      </w:r>
    </w:p>
    <w:p>
      <w:pPr>
        <w:pStyle w:val="BlockText"/>
      </w:pPr>
      <w:r>
        <w:t xml:space="preserve">Autorität darf nicht aus Charisma, Seniorität, Eigentum oder informellem Einfluss abgeleitet werden.</w:t>
      </w:r>
      <w:r>
        <w:t xml:space="preserve"> </w:t>
      </w:r>
      <w:r>
        <w:t xml:space="preserve">Temporäre oder Notfall-Autorität muss explizit definiert, zeitlich begrenzt und einer Überprüfung unterzogen werden.</w:t>
      </w:r>
    </w:p>
    <w:p>
      <w:r>
        <w:pict>
          <v:rect style="width:0;height:1.5pt" o:hralign="center" o:hrstd="t" o:hr="t"/>
        </w:pict>
      </w:r>
    </w:p>
    <w:bookmarkEnd w:id="16"/>
    <w:bookmarkStart w:id="17" w:name="ratifizierungsprotokoll"/>
    <w:p>
      <w:pPr>
        <w:pStyle w:val="Heading2"/>
      </w:pPr>
      <w:r>
        <w:t xml:space="preserve">Ratifizierungsprotokoll</w:t>
      </w:r>
    </w:p>
    <w:p>
      <w:pPr>
        <w:pStyle w:val="Compact"/>
        <w:numPr>
          <w:ilvl w:val="0"/>
          <w:numId w:val="1003"/>
        </w:numPr>
      </w:pPr>
      <w:r>
        <w:rPr>
          <w:b/>
          <w:bCs/>
        </w:rPr>
        <w:t xml:space="preserve">Angenommen:</w:t>
      </w:r>
      <w:r>
        <w:t xml:space="preserve"> </w:t>
      </w:r>
    </w:p>
    <w:p>
      <w:pPr>
        <w:pStyle w:val="Compact"/>
        <w:numPr>
          <w:ilvl w:val="0"/>
          <w:numId w:val="1003"/>
        </w:numPr>
      </w:pPr>
      <w:r>
        <w:rPr>
          <w:b/>
          <w:bCs/>
        </w:rPr>
        <w:t xml:space="preserve">Entscheidungstyp:</w:t>
      </w:r>
      <w:r>
        <w:t xml:space="preserve"> </w:t>
      </w:r>
      <w:r>
        <w:t xml:space="preserve">Konstitutionell</w:t>
      </w:r>
    </w:p>
    <w:p>
      <w:pPr>
        <w:pStyle w:val="Compact"/>
        <w:numPr>
          <w:ilvl w:val="0"/>
          <w:numId w:val="1003"/>
        </w:numPr>
      </w:pPr>
      <w:r>
        <w:rPr>
          <w:b/>
          <w:bCs/>
        </w:rPr>
        <w:t xml:space="preserve">Version:</w:t>
      </w:r>
      <w:r>
        <w:t xml:space="preserve"> </w:t>
      </w:r>
    </w:p>
    <w:p>
      <w:pPr>
        <w:pStyle w:val="Compact"/>
        <w:numPr>
          <w:ilvl w:val="0"/>
          <w:numId w:val="1003"/>
        </w:numPr>
      </w:pPr>
      <w:r>
        <w:rPr>
          <w:b/>
          <w:bCs/>
        </w:rPr>
        <w:t xml:space="preserve">Entscheidungsprotokoll:</w:t>
      </w:r>
      <w:r>
        <w:t xml:space="preserve"> </w:t>
      </w:r>
    </w:p>
    <w:bookmarkEnd w:id="17"/>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de/articles/rcos-core/v0-1/layer-2-governance-decision-logic#43-authority-boundaries" TargetMode="External" /><Relationship Type="http://schemas.openxmlformats.org/officeDocument/2006/relationships/hyperlink" Id="rId15" Target="https://blueprint.ecohubs.community/de/articles/rcos-core/v0-1/layer-2-governance-decision-logic#47-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2/authority-registry"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de/articles/rcos-core/v0-1/layer-2-governance-decision-logic#43-authority-boundaries" TargetMode="External" /><Relationship Type="http://schemas.openxmlformats.org/officeDocument/2006/relationships/hyperlink" Id="rId15" Target="https://blueprint.ecohubs.community/de/articles/rcos-core/v0-1/layer-2-governance-decision-logic#47-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2/authority-regist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2026-04-29T01:58:19Z</dcterms:created>
  <dcterms:modified xsi:type="dcterms:W3CDTF">2026-04-29T01:58:19Z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Autoritätenregister</vt:lpwstr>
  </property>
</Properties>
</file>