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18" w:name="invariantenregister"/>
    <w:p>
      <w:pPr>
        <w:pStyle w:val="Heading1"/>
      </w:pPr>
      <w:r>
        <w:t xml:space="preserve">Invariantenregister</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https://blueprint.ecohubs.community/de/articles/rcos-templates/layer-0/invariants-register</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0 — Identität &amp; Geltungsbereich</w:t>
      </w:r>
    </w:p>
    <w:p>
      <w:pPr>
        <w:pStyle w:val="Compact"/>
        <w:numPr>
          <w:ilvl w:val="0"/>
          <w:numId w:val="1002"/>
        </w:numPr>
      </w:pPr>
      <w:r>
        <w:rPr>
          <w:b/>
          <w:bCs/>
        </w:rPr>
        <w:t xml:space="preserve">Status:</w:t>
      </w:r>
      <w:r>
        <w:t xml:space="preserve"> </w:t>
      </w:r>
      <w:r>
        <w:t xml:space="preserve">Vorlage — für deine Gemeinschaft anpassen</w:t>
      </w:r>
    </w:p>
    <w:p>
      <w:pPr>
        <w:pStyle w:val="Compact"/>
        <w:numPr>
          <w:ilvl w:val="0"/>
          <w:numId w:val="1002"/>
        </w:numPr>
      </w:pPr>
      <w:r>
        <w:rPr>
          <w:b/>
          <w:bCs/>
        </w:rPr>
        <w:t xml:space="preserve">RCOS-Referenz:</w:t>
      </w:r>
      <w:r>
        <w:t xml:space="preserve"> </w:t>
      </w:r>
      <w:hyperlink r:id="rId14">
        <w:r>
          <w:rPr>
            <w:rStyle w:val="Hyperlink"/>
          </w:rPr>
          <w:t xml:space="preserve">§2.3</w:t>
        </w:r>
      </w:hyperlink>
      <w:r>
        <w:t xml:space="preserve">,</w:t>
      </w:r>
      <w:r>
        <w:t xml:space="preserve"> </w:t>
      </w:r>
      <w:hyperlink r:id="rId15">
        <w:r>
          <w:rPr>
            <w:rStyle w:val="Hyperlink"/>
          </w:rPr>
          <w:t xml:space="preserve">§2.5</w:t>
        </w:r>
      </w:hyperlink>
    </w:p>
    <w:p>
      <w:pPr>
        <w:pStyle w:val="BlockText"/>
      </w:pPr>
      <w:r>
        <w:t xml:space="preserve">Invarianten sind Rahmenbedingungen, die DARF NICHT verletzt werden, solange sie in Kraft sind. Keine Entscheidung, Rolle, Prozess oder Notfallmaßnahme darf eine Invariante außer Kraft setzen. Entsteht ein Konflikt zwischen einer Invariante und einer anderen Regel, hat die Invariante Vorrang.</w:t>
      </w:r>
    </w:p>
    <w:p>
      <w:r>
        <w:pict>
          <v:rect style="width:0;height:1.5pt" o:hralign="center" o:hrstd="t" o:hr="t"/>
        </w:pict>
      </w:r>
    </w:p>
    <w:bookmarkStart w:id="16" w:name="aktive-invarianten"/>
    <w:p>
      <w:pPr>
        <w:pStyle w:val="Heading2"/>
      </w:pPr>
      <w:r>
        <w:t xml:space="preserve">Aktive Invarianten</w:t>
      </w:r>
    </w:p>
    <w:p>
      <w:pPr>
        <w:pStyle w:val="FirstParagraph"/>
      </w:pPr>
      <w:r>
        <w:rPr>
          <w:i/>
          <w:iCs/>
        </w:rPr>
        <w:t xml:space="preserve">RCOS-Klauseln:</w:t>
      </w:r>
      <w:r>
        <w:rPr>
          <w:i/>
          <w:iCs/>
        </w:rPr>
        <w:t xml:space="preserve"> </w:t>
      </w:r>
      <w:hyperlink r:id="rId14">
        <w:r>
          <w:rPr>
            <w:rStyle w:val="Hyperlink"/>
            <w:i/>
            <w:iCs/>
          </w:rPr>
          <w:t xml:space="preserve">2.3.1</w:t>
        </w:r>
      </w:hyperlink>
      <w:r>
        <w:rPr>
          <w:i/>
          <w:iCs/>
        </w:rPr>
        <w:t xml:space="preserve">,</w:t>
      </w:r>
      <w:r>
        <w:rPr>
          <w:i/>
          <w:iCs/>
        </w:rPr>
        <w:t xml:space="preserve"> </w:t>
      </w:r>
      <w:hyperlink r:id="rId14">
        <w:r>
          <w:rPr>
            <w:rStyle w:val="Hyperlink"/>
            <w:i/>
            <w:iCs/>
          </w:rPr>
          <w:t xml:space="preserve">2.3.2</w:t>
        </w:r>
      </w:hyperlink>
      <w:r>
        <w:rPr>
          <w:i/>
          <w:iCs/>
        </w:rPr>
        <w:t xml:space="preserve">,</w:t>
      </w:r>
      <w:r>
        <w:rPr>
          <w:i/>
          <w:iCs/>
        </w:rPr>
        <w:t xml:space="preserve"> </w:t>
      </w:r>
      <w:hyperlink r:id="rId14">
        <w:r>
          <w:rPr>
            <w:rStyle w:val="Hyperlink"/>
            <w:i/>
            <w:iCs/>
          </w:rPr>
          <w:t xml:space="preserve">2.3.3</w:t>
        </w:r>
      </w:hyperlink>
      <w:r>
        <w:rPr>
          <w:i/>
          <w:iCs/>
        </w:rPr>
        <w:t xml:space="preserve">,</w:t>
      </w:r>
      <w:r>
        <w:rPr>
          <w:i/>
          <w:iCs/>
        </w:rPr>
        <w:t xml:space="preserve"> </w:t>
      </w:r>
      <w:hyperlink r:id="rId14">
        <w:r>
          <w:rPr>
            <w:rStyle w:val="Hyperlink"/>
            <w:i/>
            <w:iCs/>
          </w:rPr>
          <w:t xml:space="preserve">2.3.4</w:t>
        </w:r>
      </w:hyperlink>
      <w:r>
        <w:rPr>
          <w:i/>
          <w:iCs/>
        </w:rPr>
        <w:t xml:space="preserve">,</w:t>
      </w:r>
      <w:r>
        <w:rPr>
          <w:i/>
          <w:iCs/>
        </w:rPr>
        <w:t xml:space="preserve"> </w:t>
      </w:r>
      <w:hyperlink r:id="rId14">
        <w:r>
          <w:rPr>
            <w:rStyle w:val="Hyperlink"/>
            <w:i/>
            <w:iCs/>
          </w:rPr>
          <w:t xml:space="preserve">2.3.5</w:t>
        </w:r>
      </w:hyperlink>
      <w:r>
        <w:rPr>
          <w:i/>
          <w:iCs/>
        </w:rPr>
        <w:t xml:space="preserve">,</w:t>
      </w:r>
      <w:r>
        <w:rPr>
          <w:i/>
          <w:iCs/>
        </w:rPr>
        <w:t xml:space="preserve"> </w:t>
      </w:r>
      <w:hyperlink r:id="rId14">
        <w:r>
          <w:rPr>
            <w:rStyle w:val="Hyperlink"/>
            <w:i/>
            <w:iCs/>
          </w:rPr>
          <w:t xml:space="preserve">2.3.6</w:t>
        </w:r>
      </w:hyperlink>
    </w:p>
    <w:p>
      <w:pPr>
        <w:pStyle w:val="BlockText"/>
      </w:pPr>
      <w:r>
        <w:rPr>
          <w:b/>
          <w:bCs/>
        </w:rPr>
        <w:t xml:space="preserve">Begründung — Warum können Invarianten nicht außer Kraft gesetzt werden</w:t>
      </w:r>
    </w:p>
    <w:p>
      <w:pPr>
        <w:pStyle w:val="BlockText"/>
      </w:pPr>
      <w:r>
        <w:t xml:space="preserve">Invarianten sind der harte Boden des Systems — Dinge, die auch unter Druck, in Notfällen oder bei einer Mehrheitsentscheidung gelten müssen. Wenn eine Entscheidung, eine Rolle oder eine Krisenmaßnahme sie außer Kraft setzen könnte, wären sie keine Rahmenbedingungen mehr, sondern nur noch Präferenzen. Sie explizit aufzulisten und auf allen Schichten zu verankern macht das Governance-System auch unter Stress verlässlich — nicht nur an ruhigen Tagen.</w:t>
      </w:r>
    </w:p>
    <w:p>
      <w:pPr>
        <w:pStyle w:val="BlockText"/>
      </w:pPr>
      <w:r>
        <w:rPr>
          <w:b/>
          <w:bCs/>
        </w:rPr>
        <w:t xml:space="preserve">Anleitung — So füllst du das aus</w:t>
      </w:r>
    </w:p>
    <w:p>
      <w:pPr>
        <w:pStyle w:val="BlockText"/>
      </w:pPr>
      <w:r>
        <w:t xml:space="preserve">Jede Invariante ist eine harte Rahmenbedingung. Halte sie wenige, spezifisch und absolut — so formuliert, dass jede Verletzung eindeutig erkennbar ist. Häufige Kategorien: Zweckschutz, Rückverfolgbarkeit von Autorität, Austrittsrechte, ideologische Neutralität, Nicht-Extraktion, Sicherheitsvorrang.</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ID</w:t>
            </w:r>
          </w:p>
        </w:tc>
        <w:tc>
          <w:tcPr/>
          <w:p>
            <w:pPr>
              <w:pStyle w:val="Compact"/>
            </w:pPr>
            <w:r>
              <w:t xml:space="preserve">Invariante</w:t>
            </w:r>
          </w:p>
        </w:tc>
        <w:tc>
          <w:tcPr/>
          <w:p>
            <w:pPr>
              <w:pStyle w:val="Compact"/>
            </w:pPr>
            <w:r>
              <w:t xml:space="preserve">Hinzugefügt</w:t>
            </w:r>
          </w:p>
        </w:tc>
        <w:tc>
          <w:tcPr/>
          <w:p>
            <w:pPr>
              <w:pStyle w:val="Compact"/>
            </w:pPr>
            <w:r>
              <w:t xml:space="preserve">Entscheidungsprotokoll</w:t>
            </w:r>
          </w:p>
        </w:tc>
      </w:tr>
      <w:tr>
        <w:tc>
          <w:tcPr/>
          <w:p>
            <w:pPr>
              <w:pStyle w:val="Compact"/>
            </w:pPr>
            <w:r>
              <w:t xml:space="preserve">INV-001</w:t>
            </w:r>
          </w:p>
        </w:tc>
        <w:tc>
          <w:tcPr/>
          <w:p>
            <w:pPr>
              <w:pStyle w:val="Compact"/>
            </w:pPr>
            <w:r>
              <w:rPr>
                <w:i/>
                <w:iCs/>
              </w:rPr>
              <w:t xml:space="preserve">&lt;Invariantenaussage, z. B. Der primäre Zweck darf durch keine operative oder strategische Entscheidung, Rolle oder Notfallmaßnahme außer Kraft gesetzt werden.&gt;</w:t>
            </w:r>
          </w:p>
        </w:tc>
        <w:tc>
          <w:tcPr/>
          <w:p>
            <w:pPr>
              <w:pStyle w:val="Compact"/>
            </w:pPr>
          </w:p>
        </w:tc>
        <w:tc>
          <w:tcPr/>
          <w:p>
            <w:pPr>
              <w:pStyle w:val="Compact"/>
            </w:pPr>
            <w:r>
              <w:t xml:space="preserve">[Link]</w:t>
            </w:r>
          </w:p>
        </w:tc>
      </w:tr>
      <w:tr>
        <w:tc>
          <w:tcPr/>
          <w:p>
            <w:pPr>
              <w:pStyle w:val="Compact"/>
            </w:pPr>
            <w:r>
              <w:t xml:space="preserve">INV-002</w:t>
            </w:r>
          </w:p>
        </w:tc>
        <w:tc>
          <w:tcPr/>
          <w:p>
            <w:pPr>
              <w:pStyle w:val="Compact"/>
            </w:pPr>
            <w:r>
              <w:rPr>
                <w:i/>
                <w:iCs/>
              </w:rPr>
              <w:t xml:space="preserve">&lt;Invariantenaussage, z. B. Autorität muss stets explizit und auf das Governance-System zurückführbar sein — keine Person und keine Rolle darf nicht deklarierte Autorität innehaben oder ausüben.&gt;</w:t>
            </w:r>
          </w:p>
        </w:tc>
        <w:tc>
          <w:tcPr/>
          <w:p>
            <w:pPr>
              <w:pStyle w:val="Compact"/>
            </w:pPr>
          </w:p>
        </w:tc>
        <w:tc>
          <w:tcPr/>
          <w:p>
            <w:pPr>
              <w:pStyle w:val="Compact"/>
            </w:pPr>
            <w:r>
              <w:t xml:space="preserve">[Link]</w:t>
            </w:r>
          </w:p>
        </w:tc>
      </w:tr>
      <w:tr>
        <w:tc>
          <w:tcPr/>
          <w:p>
            <w:pPr>
              <w:pStyle w:val="Compact"/>
            </w:pPr>
            <w:r>
              <w:t xml:space="preserve">INV-003</w:t>
            </w:r>
          </w:p>
        </w:tc>
        <w:tc>
          <w:tcPr/>
          <w:p>
            <w:pPr>
              <w:pStyle w:val="Compact"/>
            </w:pPr>
            <w:r>
              <w:rPr>
                <w:i/>
                <w:iCs/>
              </w:rPr>
              <w:t xml:space="preserve">&lt;Invariantenaussage, z. B. Der Austritt aus der Gemeinschaft muss stets möglich sein und darf niemals blockiert, bestraft oder über das in Schicht 1 Festgelegte hinaus an Bedingungen geknüpft werden.&gt;</w:t>
            </w:r>
          </w:p>
        </w:tc>
        <w:tc>
          <w:tcPr/>
          <w:p>
            <w:pPr>
              <w:pStyle w:val="Compact"/>
            </w:pPr>
          </w:p>
        </w:tc>
        <w:tc>
          <w:tcPr/>
          <w:p>
            <w:pPr>
              <w:pStyle w:val="Compact"/>
            </w:pPr>
            <w:r>
              <w:t xml:space="preserve">[Link]</w:t>
            </w:r>
          </w:p>
        </w:tc>
      </w:tr>
      <w:tr>
        <w:tc>
          <w:tcPr/>
          <w:p>
            <w:pPr>
              <w:pStyle w:val="Compact"/>
            </w:pPr>
            <w:r>
              <w:t xml:space="preserve">INV-004</w:t>
            </w:r>
          </w:p>
        </w:tc>
        <w:tc>
          <w:tcPr/>
          <w:p>
            <w:pPr>
              <w:pStyle w:val="Compact"/>
            </w:pPr>
            <w:r>
              <w:rPr>
                <w:i/>
                <w:iCs/>
              </w:rPr>
              <w:t xml:space="preserve">&lt;Invariantenaussage.&gt;</w:t>
            </w:r>
          </w:p>
        </w:tc>
        <w:tc>
          <w:tcPr/>
          <w:p>
            <w:pPr>
              <w:pStyle w:val="Compact"/>
            </w:pPr>
          </w:p>
        </w:tc>
        <w:tc>
          <w:tcPr/>
          <w:p>
            <w:pPr>
              <w:pStyle w:val="Compact"/>
            </w:pPr>
            <w:r>
              <w:t xml:space="preserve">[Link]</w:t>
            </w:r>
          </w:p>
        </w:tc>
      </w:tr>
      <w:tr>
        <w:tc>
          <w:tcPr/>
          <w:p>
            <w:pPr>
              <w:pStyle w:val="Compact"/>
            </w:pPr>
            <w:r>
              <w:t xml:space="preserve">INV-005</w:t>
            </w:r>
          </w:p>
        </w:tc>
        <w:tc>
          <w:tcPr/>
          <w:p>
            <w:pPr>
              <w:pStyle w:val="Compact"/>
            </w:pPr>
            <w:r>
              <w:rPr>
                <w:i/>
                <w:iCs/>
              </w:rPr>
              <w:t xml:space="preserve">&lt;Invariantenaussage.&gt;</w:t>
            </w:r>
          </w:p>
        </w:tc>
        <w:tc>
          <w:tcPr/>
          <w:p>
            <w:pPr>
              <w:pStyle w:val="Compact"/>
            </w:pPr>
          </w:p>
        </w:tc>
        <w:tc>
          <w:tcPr/>
          <w:p>
            <w:pPr>
              <w:pStyle w:val="Compact"/>
            </w:pPr>
            <w:r>
              <w:t xml:space="preserve">[Link]</w:t>
            </w:r>
          </w:p>
        </w:tc>
      </w:tr>
      <w:tr>
        <w:tc>
          <w:tcPr/>
          <w:p>
            <w:pPr>
              <w:pStyle w:val="Compact"/>
            </w:pPr>
            <w:r>
              <w:t xml:space="preserve">INV-006</w:t>
            </w:r>
          </w:p>
        </w:tc>
        <w:tc>
          <w:tcPr/>
          <w:p>
            <w:pPr>
              <w:pStyle w:val="Compact"/>
            </w:pPr>
            <w:r>
              <w:rPr>
                <w:i/>
                <w:iCs/>
              </w:rPr>
              <w:t xml:space="preserve">&lt;Invariantenaussage, z. B. Körperliche, psychische und Kindersicherheit haben stets Vorrang vor Teilnahmerechten, Rollenkontinuität und Reputationsbelangen.&gt;</w:t>
            </w:r>
          </w:p>
        </w:tc>
        <w:tc>
          <w:tcPr/>
          <w:p>
            <w:pPr>
              <w:pStyle w:val="Compact"/>
            </w:pPr>
          </w:p>
        </w:tc>
        <w:tc>
          <w:tcPr/>
          <w:p>
            <w:pPr>
              <w:pStyle w:val="Compact"/>
            </w:pPr>
            <w:r>
              <w:t xml:space="preserve">[Link]</w:t>
            </w:r>
          </w:p>
        </w:tc>
      </w:tr>
    </w:tbl>
    <w:p>
      <w:r>
        <w:pict>
          <v:rect style="width:0;height:1.5pt" o:hralign="center" o:hrstd="t" o:hr="t"/>
        </w:pict>
      </w:r>
    </w:p>
    <w:bookmarkEnd w:id="16"/>
    <w:bookmarkStart w:id="17" w:name="ratifizierungsprotokoll"/>
    <w:p>
      <w:pPr>
        <w:pStyle w:val="Heading2"/>
      </w:pPr>
      <w:r>
        <w:t xml:space="preserve">Ratifizierungsprotokoll</w:t>
      </w:r>
    </w:p>
    <w:p>
      <w:pPr>
        <w:pStyle w:val="Compact"/>
        <w:numPr>
          <w:ilvl w:val="0"/>
          <w:numId w:val="1003"/>
        </w:numPr>
      </w:pPr>
      <w:r>
        <w:rPr>
          <w:b/>
          <w:bCs/>
        </w:rPr>
        <w:t xml:space="preserve">Angenommen:</w:t>
      </w:r>
      <w:r>
        <w:t xml:space="preserve"> </w:t>
      </w:r>
    </w:p>
    <w:p>
      <w:pPr>
        <w:pStyle w:val="Compact"/>
        <w:numPr>
          <w:ilvl w:val="0"/>
          <w:numId w:val="1003"/>
        </w:numPr>
      </w:pPr>
      <w:r>
        <w:rPr>
          <w:b/>
          <w:bCs/>
        </w:rPr>
        <w:t xml:space="preserve">Entscheidungstyp:</w:t>
      </w:r>
      <w:r>
        <w:t xml:space="preserve"> </w:t>
      </w:r>
      <w:r>
        <w:t xml:space="preserve">Konstitutionell</w:t>
      </w:r>
    </w:p>
    <w:p>
      <w:pPr>
        <w:pStyle w:val="Compact"/>
        <w:numPr>
          <w:ilvl w:val="0"/>
          <w:numId w:val="1003"/>
        </w:numPr>
      </w:pPr>
      <w:r>
        <w:rPr>
          <w:b/>
          <w:bCs/>
        </w:rPr>
        <w:t xml:space="preserve">Version:</w:t>
      </w:r>
      <w:r>
        <w:t xml:space="preserve"> </w:t>
      </w:r>
    </w:p>
    <w:p>
      <w:pPr>
        <w:pStyle w:val="Compact"/>
        <w:numPr>
          <w:ilvl w:val="0"/>
          <w:numId w:val="1003"/>
        </w:numPr>
      </w:pPr>
      <w:r>
        <w:rPr>
          <w:b/>
          <w:bCs/>
        </w:rPr>
        <w:t xml:space="preserve">Entscheidungsprotokoll:</w:t>
      </w:r>
      <w:r>
        <w:t xml:space="preserve"> </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0-identity-scope#23-invariants" TargetMode="External" /><Relationship Type="http://schemas.openxmlformats.org/officeDocument/2006/relationships/hyperlink" Id="rId15" Target="https://blueprint.ecohubs.community/de/articles/rcos-core/v0-1/layer-0-identity-scope#2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0/invariants-regist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0-identity-scope#23-invariants" TargetMode="External" /><Relationship Type="http://schemas.openxmlformats.org/officeDocument/2006/relationships/hyperlink" Id="rId15" Target="https://blueprint.ecohubs.community/de/articles/rcos-core/v0-1/layer-0-identity-scope#2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0/invariants-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2026-04-29T01:58:18Z</dcterms:created>
  <dcterms:modified xsi:type="dcterms:W3CDTF">2026-04-29T01:58:18Z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Invariantenregister</vt:lpwstr>
  </property>
</Properties>
</file>